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B95" w:rsidRPr="00386B95" w:rsidRDefault="00386B95" w:rsidP="00386B95">
      <w:pPr>
        <w:spacing w:after="0" w:line="360" w:lineRule="auto"/>
        <w:jc w:val="both"/>
        <w:rPr>
          <w:rFonts w:ascii="Palatino Linotype" w:eastAsia="Calibri" w:hAnsi="Palatino Linotype" w:cs="Arial"/>
          <w:b/>
          <w:bCs/>
          <w:sz w:val="24"/>
          <w:szCs w:val="24"/>
          <w:lang w:eastAsia="es-MX"/>
        </w:rPr>
      </w:pPr>
      <w:r w:rsidRPr="00386B95">
        <w:rPr>
          <w:rFonts w:ascii="Palatino Linotype" w:eastAsia="Calibri" w:hAnsi="Palatino Linotype" w:cs="Arial"/>
          <w:b/>
          <w:sz w:val="24"/>
          <w:szCs w:val="24"/>
        </w:rPr>
        <w:t xml:space="preserve">VOTO PARTICULAR DEL COMISIONADO JOSÉ GUADALUPE LUNA HERNÁNDEZ EN EL RECURSO DE REVISIÓN </w:t>
      </w:r>
      <w:r w:rsidRPr="00386B95">
        <w:rPr>
          <w:rFonts w:ascii="Palatino Linotype" w:hAnsi="Palatino Linotype"/>
          <w:b/>
          <w:sz w:val="24"/>
          <w:szCs w:val="24"/>
        </w:rPr>
        <w:t>02129</w:t>
      </w:r>
      <w:r w:rsidRPr="00386B95">
        <w:rPr>
          <w:rFonts w:ascii="Palatino Linotype" w:hAnsi="Palatino Linotype" w:cs="Arial"/>
          <w:b/>
          <w:bCs/>
          <w:sz w:val="24"/>
          <w:szCs w:val="24"/>
        </w:rPr>
        <w:t>/INFOEM/IP/RR/2018</w:t>
      </w:r>
      <w:r w:rsidRPr="00386B95">
        <w:rPr>
          <w:rFonts w:ascii="Palatino Linotype" w:hAnsi="Palatino Linotype"/>
          <w:b/>
          <w:sz w:val="24"/>
          <w:szCs w:val="24"/>
        </w:rPr>
        <w:t>.</w:t>
      </w:r>
    </w:p>
    <w:p w:rsidR="00386B95" w:rsidRPr="00386B95" w:rsidRDefault="00386B95" w:rsidP="00386B95">
      <w:pPr>
        <w:spacing w:after="0" w:line="360" w:lineRule="auto"/>
        <w:jc w:val="both"/>
        <w:rPr>
          <w:rFonts w:ascii="Palatino Linotype" w:eastAsia="Calibri" w:hAnsi="Palatino Linotype" w:cs="Arial"/>
          <w:sz w:val="24"/>
          <w:szCs w:val="24"/>
        </w:rPr>
      </w:pPr>
    </w:p>
    <w:p w:rsidR="00386B95" w:rsidRPr="00386B95" w:rsidRDefault="00386B95" w:rsidP="00386B95">
      <w:pPr>
        <w:spacing w:after="0" w:line="360" w:lineRule="auto"/>
        <w:jc w:val="both"/>
        <w:rPr>
          <w:rFonts w:ascii="Palatino Linotype" w:eastAsia="Calibri" w:hAnsi="Palatino Linotype" w:cs="Arial"/>
          <w:sz w:val="24"/>
          <w:szCs w:val="24"/>
        </w:rPr>
      </w:pPr>
      <w:r w:rsidRPr="00386B95">
        <w:rPr>
          <w:rFonts w:ascii="Palatino Linotype" w:eastAsia="Calibri" w:hAnsi="Palatino Linotype" w:cs="Arial"/>
          <w:b/>
          <w:sz w:val="24"/>
          <w:szCs w:val="24"/>
        </w:rPr>
        <w:t>Resumen del voto:</w:t>
      </w:r>
      <w:r w:rsidRPr="00386B95">
        <w:rPr>
          <w:rFonts w:ascii="Palatino Linotype" w:eastAsia="Calibri" w:hAnsi="Palatino Linotype" w:cs="Arial"/>
          <w:sz w:val="24"/>
          <w:szCs w:val="24"/>
        </w:rPr>
        <w:t xml:space="preserve"> Para satisfacer plenamente el derecho de acceso a la información pública, el Instituto de Transparencia, Acceso a la Información Pública y Protección de Datos Personales del Estado de México y Municipios debe velar por que</w:t>
      </w:r>
      <w:r w:rsidR="00D303EA">
        <w:rPr>
          <w:rFonts w:ascii="Palatino Linotype" w:eastAsia="Calibri" w:hAnsi="Palatino Linotype" w:cs="Arial"/>
          <w:sz w:val="24"/>
          <w:szCs w:val="24"/>
        </w:rPr>
        <w:t xml:space="preserve"> las respuestas que los</w:t>
      </w:r>
      <w:r w:rsidR="0082726C">
        <w:rPr>
          <w:rFonts w:ascii="Palatino Linotype" w:eastAsia="Calibri" w:hAnsi="Palatino Linotype" w:cs="Arial"/>
          <w:sz w:val="24"/>
          <w:szCs w:val="24"/>
        </w:rPr>
        <w:t xml:space="preserve"> </w:t>
      </w:r>
      <w:r w:rsidR="002415AF">
        <w:rPr>
          <w:rFonts w:ascii="Palatino Linotype" w:eastAsia="Calibri" w:hAnsi="Palatino Linotype" w:cs="Arial"/>
          <w:sz w:val="24"/>
          <w:szCs w:val="24"/>
        </w:rPr>
        <w:t>Sujetos Obligados</w:t>
      </w:r>
      <w:r w:rsidR="0082726C">
        <w:rPr>
          <w:rFonts w:ascii="Palatino Linotype" w:eastAsia="Calibri" w:hAnsi="Palatino Linotype" w:cs="Arial"/>
          <w:sz w:val="24"/>
          <w:szCs w:val="24"/>
        </w:rPr>
        <w:t xml:space="preserve"> entregan en sus respuestas, privilegie e</w:t>
      </w:r>
      <w:r w:rsidR="00D303EA">
        <w:rPr>
          <w:rFonts w:ascii="Palatino Linotype" w:eastAsia="Calibri" w:hAnsi="Palatino Linotype" w:cs="Arial"/>
          <w:sz w:val="24"/>
          <w:szCs w:val="24"/>
        </w:rPr>
        <w:t>l concepto de interés público.</w:t>
      </w:r>
    </w:p>
    <w:p w:rsidR="00386B95" w:rsidRPr="00386B95" w:rsidRDefault="00386B95" w:rsidP="00386B95">
      <w:pPr>
        <w:keepNext/>
        <w:keepLines/>
        <w:spacing w:before="240" w:after="0" w:line="360" w:lineRule="auto"/>
        <w:rPr>
          <w:rFonts w:ascii="Palatino Linotype" w:eastAsiaTheme="majorEastAsia" w:hAnsi="Palatino Linotype" w:cs="Arial"/>
          <w:sz w:val="24"/>
          <w:szCs w:val="24"/>
          <w:lang w:eastAsia="es-MX"/>
        </w:rPr>
      </w:pPr>
      <w:r w:rsidRPr="00386B95">
        <w:rPr>
          <w:rFonts w:ascii="Palatino Linotype" w:eastAsiaTheme="majorEastAsia" w:hAnsi="Palatino Linotype" w:cs="Arial"/>
          <w:b/>
          <w:sz w:val="24"/>
          <w:szCs w:val="24"/>
          <w:lang w:eastAsia="es-MX"/>
        </w:rPr>
        <w:t>Índice.</w:t>
      </w:r>
    </w:p>
    <w:sdt>
      <w:sdtPr>
        <w:rPr>
          <w:sz w:val="24"/>
          <w:szCs w:val="24"/>
          <w:lang w:val="es-ES"/>
        </w:rPr>
        <w:id w:val="-1628690016"/>
        <w:docPartObj>
          <w:docPartGallery w:val="Table of Contents"/>
          <w:docPartUnique/>
        </w:docPartObj>
      </w:sdtPr>
      <w:sdtEndPr>
        <w:rPr>
          <w:rFonts w:ascii="Palatino Linotype" w:hAnsi="Palatino Linotype"/>
          <w:bCs/>
        </w:rPr>
      </w:sdtEndPr>
      <w:sdtContent>
        <w:p w:rsidR="002D4959" w:rsidRDefault="00386B95">
          <w:pPr>
            <w:pStyle w:val="TDC1"/>
            <w:tabs>
              <w:tab w:val="left" w:pos="440"/>
              <w:tab w:val="right" w:leader="dot" w:pos="8828"/>
            </w:tabs>
            <w:rPr>
              <w:rFonts w:eastAsiaTheme="minorEastAsia"/>
              <w:noProof/>
              <w:lang w:eastAsia="es-MX"/>
            </w:rPr>
          </w:pPr>
          <w:r w:rsidRPr="0039641A">
            <w:rPr>
              <w:rFonts w:ascii="Palatino Linotype" w:hAnsi="Palatino Linotype"/>
              <w:noProof/>
              <w:sz w:val="24"/>
              <w:szCs w:val="24"/>
            </w:rPr>
            <w:fldChar w:fldCharType="begin"/>
          </w:r>
          <w:r w:rsidRPr="0039641A">
            <w:rPr>
              <w:rFonts w:ascii="Palatino Linotype" w:hAnsi="Palatino Linotype"/>
              <w:b/>
              <w:noProof/>
              <w:sz w:val="24"/>
              <w:szCs w:val="24"/>
            </w:rPr>
            <w:instrText xml:space="preserve"> TOC \o "1-3" \h \z \u </w:instrText>
          </w:r>
          <w:r w:rsidRPr="0039641A">
            <w:rPr>
              <w:rFonts w:ascii="Palatino Linotype" w:hAnsi="Palatino Linotype"/>
              <w:noProof/>
              <w:sz w:val="24"/>
              <w:szCs w:val="24"/>
            </w:rPr>
            <w:fldChar w:fldCharType="separate"/>
          </w:r>
          <w:hyperlink w:anchor="_Toc522548931" w:history="1">
            <w:r w:rsidR="002D4959" w:rsidRPr="00476E5A">
              <w:rPr>
                <w:rStyle w:val="Hipervnculo"/>
                <w:rFonts w:ascii="Palatino Linotype" w:eastAsia="Times New Roman" w:hAnsi="Palatino Linotype" w:cstheme="majorBidi"/>
                <w:b/>
                <w:noProof/>
              </w:rPr>
              <w:t>I.</w:t>
            </w:r>
            <w:r w:rsidR="002D4959">
              <w:rPr>
                <w:rFonts w:eastAsiaTheme="minorEastAsia"/>
                <w:noProof/>
                <w:lang w:eastAsia="es-MX"/>
              </w:rPr>
              <w:tab/>
            </w:r>
            <w:r w:rsidR="002D4959" w:rsidRPr="00476E5A">
              <w:rPr>
                <w:rStyle w:val="Hipervnculo"/>
                <w:rFonts w:ascii="Palatino Linotype" w:eastAsia="Times New Roman" w:hAnsi="Palatino Linotype" w:cstheme="majorBidi"/>
                <w:b/>
                <w:noProof/>
              </w:rPr>
              <w:t>Consideraciones Generales</w:t>
            </w:r>
            <w:r w:rsidR="002D4959">
              <w:rPr>
                <w:noProof/>
                <w:webHidden/>
              </w:rPr>
              <w:tab/>
            </w:r>
            <w:r w:rsidR="002D4959">
              <w:rPr>
                <w:noProof/>
                <w:webHidden/>
              </w:rPr>
              <w:fldChar w:fldCharType="begin"/>
            </w:r>
            <w:r w:rsidR="002D4959">
              <w:rPr>
                <w:noProof/>
                <w:webHidden/>
              </w:rPr>
              <w:instrText xml:space="preserve"> PAGEREF _Toc522548931 \h </w:instrText>
            </w:r>
            <w:r w:rsidR="002D4959">
              <w:rPr>
                <w:noProof/>
                <w:webHidden/>
              </w:rPr>
            </w:r>
            <w:r w:rsidR="002D4959">
              <w:rPr>
                <w:noProof/>
                <w:webHidden/>
              </w:rPr>
              <w:fldChar w:fldCharType="separate"/>
            </w:r>
            <w:r w:rsidR="002D4959">
              <w:rPr>
                <w:noProof/>
                <w:webHidden/>
              </w:rPr>
              <w:t>1</w:t>
            </w:r>
            <w:r w:rsidR="002D4959">
              <w:rPr>
                <w:noProof/>
                <w:webHidden/>
              </w:rPr>
              <w:fldChar w:fldCharType="end"/>
            </w:r>
          </w:hyperlink>
        </w:p>
        <w:p w:rsidR="002D4959" w:rsidRDefault="009B529A">
          <w:pPr>
            <w:pStyle w:val="TDC1"/>
            <w:tabs>
              <w:tab w:val="left" w:pos="440"/>
              <w:tab w:val="right" w:leader="dot" w:pos="8828"/>
            </w:tabs>
            <w:rPr>
              <w:rFonts w:eastAsiaTheme="minorEastAsia"/>
              <w:noProof/>
              <w:lang w:eastAsia="es-MX"/>
            </w:rPr>
          </w:pPr>
          <w:hyperlink w:anchor="_Toc522548932" w:history="1">
            <w:r w:rsidR="002D4959" w:rsidRPr="00476E5A">
              <w:rPr>
                <w:rStyle w:val="Hipervnculo"/>
                <w:rFonts w:ascii="Palatino Linotype" w:hAnsi="Palatino Linotype"/>
                <w:b/>
                <w:noProof/>
              </w:rPr>
              <w:t>I.</w:t>
            </w:r>
            <w:r w:rsidR="002D4959">
              <w:rPr>
                <w:rFonts w:eastAsiaTheme="minorEastAsia"/>
                <w:noProof/>
                <w:lang w:eastAsia="es-MX"/>
              </w:rPr>
              <w:tab/>
            </w:r>
            <w:r w:rsidR="002D4959" w:rsidRPr="00476E5A">
              <w:rPr>
                <w:rStyle w:val="Hipervnculo"/>
                <w:rFonts w:ascii="Palatino Linotype" w:hAnsi="Palatino Linotype"/>
                <w:b/>
                <w:noProof/>
              </w:rPr>
              <w:t>De los requerimientos planteados en el recurso de revisión.</w:t>
            </w:r>
            <w:r w:rsidR="002D4959">
              <w:rPr>
                <w:noProof/>
                <w:webHidden/>
              </w:rPr>
              <w:tab/>
            </w:r>
            <w:r w:rsidR="002D4959">
              <w:rPr>
                <w:noProof/>
                <w:webHidden/>
              </w:rPr>
              <w:fldChar w:fldCharType="begin"/>
            </w:r>
            <w:r w:rsidR="002D4959">
              <w:rPr>
                <w:noProof/>
                <w:webHidden/>
              </w:rPr>
              <w:instrText xml:space="preserve"> PAGEREF _Toc522548932 \h </w:instrText>
            </w:r>
            <w:r w:rsidR="002D4959">
              <w:rPr>
                <w:noProof/>
                <w:webHidden/>
              </w:rPr>
            </w:r>
            <w:r w:rsidR="002D4959">
              <w:rPr>
                <w:noProof/>
                <w:webHidden/>
              </w:rPr>
              <w:fldChar w:fldCharType="separate"/>
            </w:r>
            <w:r w:rsidR="002D4959">
              <w:rPr>
                <w:noProof/>
                <w:webHidden/>
              </w:rPr>
              <w:t>2</w:t>
            </w:r>
            <w:r w:rsidR="002D4959">
              <w:rPr>
                <w:noProof/>
                <w:webHidden/>
              </w:rPr>
              <w:fldChar w:fldCharType="end"/>
            </w:r>
          </w:hyperlink>
        </w:p>
        <w:p w:rsidR="002D4959" w:rsidRDefault="009B529A" w:rsidP="002D4959">
          <w:pPr>
            <w:pStyle w:val="TDC2"/>
            <w:tabs>
              <w:tab w:val="left" w:pos="880"/>
              <w:tab w:val="right" w:leader="dot" w:pos="8828"/>
            </w:tabs>
            <w:ind w:left="0"/>
            <w:rPr>
              <w:rFonts w:eastAsiaTheme="minorEastAsia"/>
              <w:noProof/>
              <w:lang w:eastAsia="es-MX"/>
            </w:rPr>
          </w:pPr>
          <w:hyperlink w:anchor="_Toc522548933" w:history="1">
            <w:r w:rsidR="002D4959" w:rsidRPr="00476E5A">
              <w:rPr>
                <w:rStyle w:val="Hipervnculo"/>
                <w:rFonts w:ascii="Palatino Linotype" w:eastAsiaTheme="majorEastAsia" w:hAnsi="Palatino Linotype" w:cs="Arial"/>
                <w:b/>
                <w:iCs/>
                <w:noProof/>
              </w:rPr>
              <w:t>II.</w:t>
            </w:r>
            <w:r w:rsidR="002D4959">
              <w:rPr>
                <w:rFonts w:eastAsiaTheme="minorEastAsia"/>
                <w:noProof/>
                <w:lang w:eastAsia="es-MX"/>
              </w:rPr>
              <w:tab/>
            </w:r>
            <w:r w:rsidR="002D4959" w:rsidRPr="00476E5A">
              <w:rPr>
                <w:rStyle w:val="Hipervnculo"/>
                <w:rFonts w:ascii="Palatino Linotype" w:eastAsiaTheme="majorEastAsia" w:hAnsi="Palatino Linotype" w:cs="Arial"/>
                <w:b/>
                <w:iCs/>
                <w:noProof/>
              </w:rPr>
              <w:t>El derecho de acceso a la información pública.</w:t>
            </w:r>
            <w:r w:rsidR="002D4959">
              <w:rPr>
                <w:noProof/>
                <w:webHidden/>
              </w:rPr>
              <w:tab/>
            </w:r>
            <w:r w:rsidR="002D4959">
              <w:rPr>
                <w:noProof/>
                <w:webHidden/>
              </w:rPr>
              <w:fldChar w:fldCharType="begin"/>
            </w:r>
            <w:r w:rsidR="002D4959">
              <w:rPr>
                <w:noProof/>
                <w:webHidden/>
              </w:rPr>
              <w:instrText xml:space="preserve"> PAGEREF _Toc522548933 \h </w:instrText>
            </w:r>
            <w:r w:rsidR="002D4959">
              <w:rPr>
                <w:noProof/>
                <w:webHidden/>
              </w:rPr>
            </w:r>
            <w:r w:rsidR="002D4959">
              <w:rPr>
                <w:noProof/>
                <w:webHidden/>
              </w:rPr>
              <w:fldChar w:fldCharType="separate"/>
            </w:r>
            <w:r w:rsidR="002D4959">
              <w:rPr>
                <w:noProof/>
                <w:webHidden/>
              </w:rPr>
              <w:t>5</w:t>
            </w:r>
            <w:r w:rsidR="002D4959">
              <w:rPr>
                <w:noProof/>
                <w:webHidden/>
              </w:rPr>
              <w:fldChar w:fldCharType="end"/>
            </w:r>
          </w:hyperlink>
        </w:p>
        <w:p w:rsidR="002D4959" w:rsidRDefault="009B529A" w:rsidP="002D4959">
          <w:pPr>
            <w:pStyle w:val="TDC2"/>
            <w:tabs>
              <w:tab w:val="left" w:pos="880"/>
              <w:tab w:val="right" w:leader="dot" w:pos="8828"/>
            </w:tabs>
            <w:ind w:left="0"/>
            <w:rPr>
              <w:rFonts w:eastAsiaTheme="minorEastAsia"/>
              <w:noProof/>
              <w:lang w:eastAsia="es-MX"/>
            </w:rPr>
          </w:pPr>
          <w:hyperlink w:anchor="_Toc522548934" w:history="1">
            <w:r w:rsidR="002D4959" w:rsidRPr="00476E5A">
              <w:rPr>
                <w:rStyle w:val="Hipervnculo"/>
                <w:rFonts w:ascii="Palatino Linotype" w:eastAsiaTheme="majorEastAsia" w:hAnsi="Palatino Linotype" w:cs="Arial"/>
                <w:b/>
                <w:iCs/>
                <w:noProof/>
              </w:rPr>
              <w:t>III.</w:t>
            </w:r>
            <w:r w:rsidR="002D4959">
              <w:rPr>
                <w:rFonts w:eastAsiaTheme="minorEastAsia"/>
                <w:noProof/>
                <w:lang w:eastAsia="es-MX"/>
              </w:rPr>
              <w:tab/>
            </w:r>
            <w:r w:rsidR="002D4959" w:rsidRPr="00476E5A">
              <w:rPr>
                <w:rStyle w:val="Hipervnculo"/>
                <w:rFonts w:ascii="Palatino Linotype" w:eastAsiaTheme="majorEastAsia" w:hAnsi="Palatino Linotype" w:cs="Arial"/>
                <w:b/>
                <w:iCs/>
                <w:noProof/>
              </w:rPr>
              <w:t>Las garantías primarias del derecho de acceso a la información pública.</w:t>
            </w:r>
            <w:r w:rsidR="002D4959">
              <w:rPr>
                <w:noProof/>
                <w:webHidden/>
              </w:rPr>
              <w:tab/>
            </w:r>
            <w:r w:rsidR="002D4959">
              <w:rPr>
                <w:noProof/>
                <w:webHidden/>
              </w:rPr>
              <w:fldChar w:fldCharType="begin"/>
            </w:r>
            <w:r w:rsidR="002D4959">
              <w:rPr>
                <w:noProof/>
                <w:webHidden/>
              </w:rPr>
              <w:instrText xml:space="preserve"> PAGEREF _Toc522548934 \h </w:instrText>
            </w:r>
            <w:r w:rsidR="002D4959">
              <w:rPr>
                <w:noProof/>
                <w:webHidden/>
              </w:rPr>
            </w:r>
            <w:r w:rsidR="002D4959">
              <w:rPr>
                <w:noProof/>
                <w:webHidden/>
              </w:rPr>
              <w:fldChar w:fldCharType="separate"/>
            </w:r>
            <w:r w:rsidR="002D4959">
              <w:rPr>
                <w:noProof/>
                <w:webHidden/>
              </w:rPr>
              <w:t>7</w:t>
            </w:r>
            <w:r w:rsidR="002D4959">
              <w:rPr>
                <w:noProof/>
                <w:webHidden/>
              </w:rPr>
              <w:fldChar w:fldCharType="end"/>
            </w:r>
          </w:hyperlink>
        </w:p>
        <w:p w:rsidR="002D4959" w:rsidRDefault="009B529A" w:rsidP="002D4959">
          <w:pPr>
            <w:pStyle w:val="TDC2"/>
            <w:tabs>
              <w:tab w:val="left" w:pos="880"/>
              <w:tab w:val="right" w:leader="dot" w:pos="8828"/>
            </w:tabs>
            <w:ind w:left="0"/>
            <w:rPr>
              <w:rFonts w:eastAsiaTheme="minorEastAsia"/>
              <w:noProof/>
              <w:lang w:eastAsia="es-MX"/>
            </w:rPr>
          </w:pPr>
          <w:hyperlink w:anchor="_Toc522548935" w:history="1">
            <w:r w:rsidR="002D4959" w:rsidRPr="00476E5A">
              <w:rPr>
                <w:rStyle w:val="Hipervnculo"/>
                <w:rFonts w:ascii="Palatino Linotype" w:eastAsiaTheme="majorEastAsia" w:hAnsi="Palatino Linotype" w:cs="Arial"/>
                <w:b/>
                <w:iCs/>
                <w:noProof/>
              </w:rPr>
              <w:t>IV.</w:t>
            </w:r>
            <w:r w:rsidR="002D4959">
              <w:rPr>
                <w:rFonts w:eastAsiaTheme="minorEastAsia"/>
                <w:noProof/>
                <w:lang w:eastAsia="es-MX"/>
              </w:rPr>
              <w:tab/>
            </w:r>
            <w:r w:rsidR="002D4959" w:rsidRPr="00476E5A">
              <w:rPr>
                <w:rStyle w:val="Hipervnculo"/>
                <w:rFonts w:ascii="Palatino Linotype" w:eastAsiaTheme="majorEastAsia" w:hAnsi="Palatino Linotype" w:cs="Arial"/>
                <w:b/>
                <w:iCs/>
                <w:noProof/>
              </w:rPr>
              <w:t>Conclusiones.</w:t>
            </w:r>
            <w:r w:rsidR="002D4959">
              <w:rPr>
                <w:noProof/>
                <w:webHidden/>
              </w:rPr>
              <w:tab/>
            </w:r>
            <w:r w:rsidR="002D4959">
              <w:rPr>
                <w:noProof/>
                <w:webHidden/>
              </w:rPr>
              <w:fldChar w:fldCharType="begin"/>
            </w:r>
            <w:r w:rsidR="002D4959">
              <w:rPr>
                <w:noProof/>
                <w:webHidden/>
              </w:rPr>
              <w:instrText xml:space="preserve"> PAGEREF _Toc522548935 \h </w:instrText>
            </w:r>
            <w:r w:rsidR="002D4959">
              <w:rPr>
                <w:noProof/>
                <w:webHidden/>
              </w:rPr>
            </w:r>
            <w:r w:rsidR="002D4959">
              <w:rPr>
                <w:noProof/>
                <w:webHidden/>
              </w:rPr>
              <w:fldChar w:fldCharType="separate"/>
            </w:r>
            <w:r w:rsidR="002D4959">
              <w:rPr>
                <w:noProof/>
                <w:webHidden/>
              </w:rPr>
              <w:t>11</w:t>
            </w:r>
            <w:r w:rsidR="002D4959">
              <w:rPr>
                <w:noProof/>
                <w:webHidden/>
              </w:rPr>
              <w:fldChar w:fldCharType="end"/>
            </w:r>
          </w:hyperlink>
        </w:p>
        <w:p w:rsidR="00386B95" w:rsidRPr="00386B95" w:rsidRDefault="00386B95" w:rsidP="00386B95">
          <w:pPr>
            <w:spacing w:line="360" w:lineRule="auto"/>
            <w:rPr>
              <w:rFonts w:ascii="Palatino Linotype" w:hAnsi="Palatino Linotype"/>
              <w:b/>
              <w:bCs/>
              <w:sz w:val="24"/>
              <w:szCs w:val="24"/>
              <w:lang w:val="es-ES"/>
            </w:rPr>
          </w:pPr>
          <w:r w:rsidRPr="0039641A">
            <w:rPr>
              <w:rFonts w:ascii="Palatino Linotype" w:hAnsi="Palatino Linotype"/>
              <w:b/>
              <w:bCs/>
              <w:sz w:val="24"/>
              <w:szCs w:val="24"/>
              <w:lang w:val="es-ES"/>
            </w:rPr>
            <w:fldChar w:fldCharType="end"/>
          </w:r>
        </w:p>
      </w:sdtContent>
    </w:sdt>
    <w:p w:rsidR="00386B95" w:rsidRPr="00386B95" w:rsidRDefault="00386B95" w:rsidP="00386B95">
      <w:pPr>
        <w:keepNext/>
        <w:keepLines/>
        <w:numPr>
          <w:ilvl w:val="0"/>
          <w:numId w:val="14"/>
        </w:numPr>
        <w:spacing w:before="240" w:after="0"/>
        <w:ind w:left="0" w:firstLine="0"/>
        <w:outlineLvl w:val="0"/>
        <w:rPr>
          <w:rFonts w:ascii="Palatino Linotype" w:eastAsia="Times New Roman" w:hAnsi="Palatino Linotype" w:cstheme="majorBidi"/>
          <w:b/>
          <w:sz w:val="24"/>
          <w:szCs w:val="24"/>
        </w:rPr>
      </w:pPr>
      <w:bookmarkStart w:id="0" w:name="_Toc522548931"/>
      <w:r w:rsidRPr="00386B95">
        <w:rPr>
          <w:rFonts w:ascii="Palatino Linotype" w:eastAsia="Times New Roman" w:hAnsi="Palatino Linotype" w:cstheme="majorBidi"/>
          <w:b/>
          <w:sz w:val="24"/>
          <w:szCs w:val="24"/>
        </w:rPr>
        <w:t>Consideraciones Generales</w:t>
      </w:r>
      <w:bookmarkEnd w:id="0"/>
    </w:p>
    <w:p w:rsidR="00386B95" w:rsidRPr="00386B95" w:rsidRDefault="00386B95" w:rsidP="00386B95">
      <w:pPr>
        <w:tabs>
          <w:tab w:val="left" w:pos="440"/>
          <w:tab w:val="left" w:pos="880"/>
          <w:tab w:val="right" w:leader="dot" w:pos="8828"/>
        </w:tabs>
        <w:spacing w:after="100"/>
        <w:jc w:val="both"/>
        <w:rPr>
          <w:rFonts w:ascii="Palatino Linotype" w:hAnsi="Palatino Linotype"/>
          <w:b/>
          <w:noProof/>
          <w:sz w:val="24"/>
          <w:szCs w:val="24"/>
          <w:lang w:val="es-ES"/>
        </w:rPr>
      </w:pPr>
    </w:p>
    <w:p w:rsidR="00386B95" w:rsidRPr="00386B95" w:rsidRDefault="00386B95" w:rsidP="00386B95">
      <w:pPr>
        <w:numPr>
          <w:ilvl w:val="0"/>
          <w:numId w:val="1"/>
        </w:numPr>
        <w:spacing w:after="0" w:line="360" w:lineRule="auto"/>
        <w:ind w:left="284" w:hanging="284"/>
        <w:contextualSpacing/>
        <w:jc w:val="both"/>
        <w:rPr>
          <w:rFonts w:ascii="Palatino Linotype" w:eastAsia="Calibri" w:hAnsi="Palatino Linotype" w:cs="Arial"/>
          <w:sz w:val="24"/>
          <w:szCs w:val="24"/>
        </w:rPr>
      </w:pPr>
      <w:r w:rsidRPr="00386B95">
        <w:rPr>
          <w:rFonts w:ascii="Palatino Linotype" w:eastAsia="Times New Roman" w:hAnsi="Palatino Linotype" w:cs="Arial"/>
          <w:sz w:val="24"/>
          <w:szCs w:val="24"/>
          <w:lang w:val="es-ES_tradnl"/>
        </w:rPr>
        <w:t>He con</w:t>
      </w:r>
      <w:r w:rsidR="0082726C">
        <w:rPr>
          <w:rFonts w:ascii="Palatino Linotype" w:eastAsia="Times New Roman" w:hAnsi="Palatino Linotype" w:cs="Arial"/>
          <w:sz w:val="24"/>
          <w:szCs w:val="24"/>
          <w:lang w:val="es-ES_tradnl"/>
        </w:rPr>
        <w:t xml:space="preserve">currido con mi voto particular </w:t>
      </w:r>
      <w:r w:rsidRPr="00386B95">
        <w:rPr>
          <w:rFonts w:ascii="Palatino Linotype" w:eastAsia="Times New Roman" w:hAnsi="Palatino Linotype" w:cs="Arial"/>
          <w:sz w:val="24"/>
          <w:szCs w:val="24"/>
          <w:lang w:val="es-ES_tradnl"/>
        </w:rPr>
        <w:t>e</w:t>
      </w:r>
      <w:r w:rsidR="0082726C">
        <w:rPr>
          <w:rFonts w:ascii="Palatino Linotype" w:eastAsia="Times New Roman" w:hAnsi="Palatino Linotype" w:cs="Arial"/>
          <w:sz w:val="24"/>
          <w:szCs w:val="24"/>
          <w:lang w:val="es-ES_tradnl"/>
        </w:rPr>
        <w:t>n</w:t>
      </w:r>
      <w:r w:rsidRPr="00386B95">
        <w:rPr>
          <w:rFonts w:ascii="Palatino Linotype" w:eastAsia="Times New Roman" w:hAnsi="Palatino Linotype" w:cs="Arial"/>
          <w:sz w:val="24"/>
          <w:szCs w:val="24"/>
          <w:lang w:val="es-ES_tradnl"/>
        </w:rPr>
        <w:t xml:space="preserve"> la presente resolución emitida </w:t>
      </w:r>
      <w:r w:rsidRPr="00386B95">
        <w:rPr>
          <w:rFonts w:ascii="Palatino Linotype" w:eastAsia="Calibri" w:hAnsi="Palatino Linotype" w:cs="Arial"/>
          <w:sz w:val="24"/>
          <w:szCs w:val="24"/>
        </w:rPr>
        <w:t>por el Pleno del Instituto de Transparencia, Acceso a la Información Pública y Protección de Datos Personales del Estado de México y Municipios, en su Vigésimo Novena Sesión Ordinaria celebrada el día quince (15) de agosto del dos mil dieciocho, en el recurso de revisión interpuesto por</w:t>
      </w:r>
      <w:r w:rsidR="00B6294F">
        <w:rPr>
          <w:rFonts w:ascii="Palatino Linotype" w:eastAsia="Calibri" w:hAnsi="Palatino Linotype" w:cs="Arial"/>
          <w:sz w:val="24"/>
          <w:szCs w:val="24"/>
        </w:rPr>
        <w:t xml:space="preserve"> </w:t>
      </w:r>
      <w:proofErr w:type="spellStart"/>
      <w:r w:rsidR="00B6294F">
        <w:rPr>
          <w:rFonts w:ascii="Palatino Linotype" w:eastAsia="Calibri" w:hAnsi="Palatino Linotype" w:cs="Arial"/>
          <w:sz w:val="24"/>
          <w:szCs w:val="24"/>
        </w:rPr>
        <w:t>xxxxx</w:t>
      </w:r>
      <w:proofErr w:type="spellEnd"/>
      <w:r w:rsidRPr="00386B95">
        <w:rPr>
          <w:rFonts w:ascii="Palatino Linotype" w:hAnsi="Palatino Linotype" w:cs="Arial"/>
          <w:b/>
          <w:sz w:val="24"/>
          <w:szCs w:val="24"/>
        </w:rPr>
        <w:t xml:space="preserve">, </w:t>
      </w:r>
      <w:r w:rsidRPr="00386B95">
        <w:rPr>
          <w:rFonts w:ascii="Palatino Linotype" w:eastAsia="Calibri" w:hAnsi="Palatino Linotype" w:cs="Arial"/>
          <w:sz w:val="24"/>
          <w:szCs w:val="24"/>
        </w:rPr>
        <w:t xml:space="preserve">en contra de la </w:t>
      </w:r>
      <w:r w:rsidRPr="00386B95">
        <w:rPr>
          <w:rFonts w:ascii="Palatino Linotype" w:eastAsia="Calibri" w:hAnsi="Palatino Linotype" w:cs="Arial"/>
          <w:sz w:val="24"/>
          <w:szCs w:val="24"/>
        </w:rPr>
        <w:lastRenderedPageBreak/>
        <w:t xml:space="preserve">respuesta del </w:t>
      </w:r>
      <w:r w:rsidRPr="00386B95">
        <w:rPr>
          <w:rFonts w:ascii="Palatino Linotype" w:eastAsia="Calibri" w:hAnsi="Palatino Linotype" w:cs="Arial"/>
          <w:b/>
          <w:sz w:val="24"/>
          <w:szCs w:val="24"/>
        </w:rPr>
        <w:t>Partido Revolucionario Institucional</w:t>
      </w:r>
      <w:r w:rsidRPr="00386B95">
        <w:rPr>
          <w:rFonts w:ascii="Palatino Linotype" w:eastAsia="Calibri" w:hAnsi="Palatino Linotype" w:cs="Arial"/>
          <w:sz w:val="24"/>
          <w:szCs w:val="24"/>
        </w:rPr>
        <w:t xml:space="preserve">, procedimiento que le fue asignado el número de expediente </w:t>
      </w:r>
      <w:r w:rsidRPr="00386B95">
        <w:rPr>
          <w:rFonts w:ascii="Palatino Linotype" w:hAnsi="Palatino Linotype"/>
          <w:b/>
        </w:rPr>
        <w:t>02129</w:t>
      </w:r>
      <w:r w:rsidRPr="00386B95">
        <w:rPr>
          <w:rFonts w:ascii="Palatino Linotype" w:hAnsi="Palatino Linotype" w:cs="Arial"/>
          <w:b/>
          <w:bCs/>
        </w:rPr>
        <w:t>/INFOEM/IP/RR/2018</w:t>
      </w:r>
      <w:r w:rsidRPr="00386B95">
        <w:rPr>
          <w:rFonts w:ascii="Palatino Linotype" w:eastAsia="Calibri" w:hAnsi="Palatino Linotype" w:cs="Arial"/>
          <w:b/>
          <w:sz w:val="24"/>
          <w:szCs w:val="24"/>
        </w:rPr>
        <w:t>.</w:t>
      </w:r>
    </w:p>
    <w:p w:rsidR="00386B95" w:rsidRPr="00386B95" w:rsidRDefault="00386B95" w:rsidP="00386B95">
      <w:pPr>
        <w:spacing w:after="0" w:line="360" w:lineRule="auto"/>
        <w:contextualSpacing/>
        <w:jc w:val="both"/>
        <w:rPr>
          <w:rFonts w:ascii="Palatino Linotype" w:eastAsia="Calibri" w:hAnsi="Palatino Linotype" w:cs="Arial"/>
          <w:sz w:val="24"/>
          <w:szCs w:val="24"/>
        </w:rPr>
      </w:pPr>
    </w:p>
    <w:p w:rsidR="00386B95" w:rsidRPr="00386B95" w:rsidRDefault="00D303EA" w:rsidP="00386B95">
      <w:pPr>
        <w:numPr>
          <w:ilvl w:val="0"/>
          <w:numId w:val="1"/>
        </w:numPr>
        <w:spacing w:after="0" w:line="360" w:lineRule="auto"/>
        <w:ind w:left="284" w:hanging="284"/>
        <w:contextualSpacing/>
        <w:jc w:val="both"/>
        <w:rPr>
          <w:rFonts w:ascii="Palatino Linotype" w:eastAsia="Calibri" w:hAnsi="Palatino Linotype" w:cs="Arial"/>
          <w:sz w:val="24"/>
          <w:szCs w:val="24"/>
        </w:rPr>
      </w:pPr>
      <w:r>
        <w:rPr>
          <w:rFonts w:ascii="Palatino Linotype" w:eastAsia="Calibri" w:hAnsi="Palatino Linotype" w:cs="Arial"/>
          <w:sz w:val="24"/>
          <w:szCs w:val="24"/>
        </w:rPr>
        <w:t>La resolución determina puntualmente que resultan</w:t>
      </w:r>
      <w:r w:rsidR="00386B95" w:rsidRPr="00386B95">
        <w:rPr>
          <w:rFonts w:ascii="Palatino Linotype" w:eastAsia="Calibri" w:hAnsi="Palatino Linotype" w:cs="Arial"/>
          <w:sz w:val="24"/>
          <w:szCs w:val="24"/>
        </w:rPr>
        <w:t xml:space="preserve"> parcialmente fundados los motivos de inconformidad aducidos por </w:t>
      </w:r>
      <w:r w:rsidR="00386B95" w:rsidRPr="00386B95">
        <w:rPr>
          <w:rFonts w:ascii="Palatino Linotype" w:eastAsia="Calibri" w:hAnsi="Palatino Linotype" w:cs="Arial"/>
          <w:b/>
          <w:sz w:val="24"/>
          <w:szCs w:val="24"/>
        </w:rPr>
        <w:t xml:space="preserve">el recurrente, </w:t>
      </w:r>
      <w:r w:rsidR="00386B95" w:rsidRPr="00386B95">
        <w:rPr>
          <w:rFonts w:ascii="Palatino Linotype" w:eastAsia="Calibri" w:hAnsi="Palatino Linotype" w:cs="Arial"/>
          <w:sz w:val="24"/>
          <w:szCs w:val="24"/>
        </w:rPr>
        <w:t xml:space="preserve">en términos del Considerando </w:t>
      </w:r>
      <w:r w:rsidR="00386B95" w:rsidRPr="00386B95">
        <w:rPr>
          <w:rFonts w:ascii="Palatino Linotype" w:eastAsia="Calibri" w:hAnsi="Palatino Linotype" w:cs="Arial"/>
          <w:b/>
          <w:sz w:val="24"/>
          <w:szCs w:val="24"/>
        </w:rPr>
        <w:t xml:space="preserve">CUARTO </w:t>
      </w:r>
      <w:r w:rsidR="00386B95" w:rsidRPr="00386B95">
        <w:rPr>
          <w:rFonts w:ascii="Palatino Linotype" w:eastAsia="Calibri" w:hAnsi="Palatino Linotype" w:cs="Arial"/>
          <w:sz w:val="24"/>
          <w:szCs w:val="24"/>
        </w:rPr>
        <w:t xml:space="preserve">de la resolución </w:t>
      </w:r>
      <w:r>
        <w:rPr>
          <w:rFonts w:ascii="Palatino Linotype" w:eastAsia="Calibri" w:hAnsi="Palatino Linotype" w:cs="Arial"/>
          <w:sz w:val="24"/>
          <w:szCs w:val="24"/>
        </w:rPr>
        <w:t xml:space="preserve">de mérito, </w:t>
      </w:r>
      <w:r w:rsidR="00386B95" w:rsidRPr="00386B95">
        <w:rPr>
          <w:rFonts w:ascii="Palatino Linotype" w:eastAsia="Calibri" w:hAnsi="Palatino Linotype" w:cs="Arial"/>
          <w:sz w:val="24"/>
          <w:szCs w:val="24"/>
        </w:rPr>
        <w:t xml:space="preserve">por lo que se </w:t>
      </w:r>
      <w:r w:rsidR="00386B95" w:rsidRPr="00386B95">
        <w:rPr>
          <w:rFonts w:ascii="Palatino Linotype" w:eastAsia="Calibri" w:hAnsi="Palatino Linotype" w:cs="Arial"/>
          <w:b/>
          <w:sz w:val="24"/>
          <w:szCs w:val="24"/>
        </w:rPr>
        <w:t xml:space="preserve">REVOCAN </w:t>
      </w:r>
      <w:r w:rsidR="00386B95" w:rsidRPr="00386B95">
        <w:rPr>
          <w:rFonts w:ascii="Palatino Linotype" w:eastAsia="Calibri" w:hAnsi="Palatino Linotype" w:cs="Arial"/>
          <w:sz w:val="24"/>
          <w:szCs w:val="24"/>
        </w:rPr>
        <w:t xml:space="preserve">las respuestas otorgadas por el </w:t>
      </w:r>
      <w:r>
        <w:rPr>
          <w:rFonts w:ascii="Palatino Linotype" w:eastAsia="Calibri" w:hAnsi="Palatino Linotype" w:cs="Arial"/>
          <w:b/>
          <w:sz w:val="24"/>
          <w:szCs w:val="24"/>
        </w:rPr>
        <w:t>SUJETO OBLIGADO.</w:t>
      </w:r>
    </w:p>
    <w:p w:rsidR="00386B95" w:rsidRPr="00386B95" w:rsidRDefault="00386B95" w:rsidP="00386B95">
      <w:pPr>
        <w:spacing w:after="0" w:line="360" w:lineRule="auto"/>
        <w:contextualSpacing/>
        <w:jc w:val="both"/>
        <w:rPr>
          <w:rFonts w:ascii="Palatino Linotype" w:eastAsia="Calibri" w:hAnsi="Palatino Linotype" w:cs="Arial"/>
          <w:sz w:val="24"/>
          <w:szCs w:val="24"/>
        </w:rPr>
      </w:pPr>
    </w:p>
    <w:p w:rsidR="00386B95" w:rsidRPr="00386B95" w:rsidRDefault="00386B95" w:rsidP="00386B95">
      <w:pPr>
        <w:numPr>
          <w:ilvl w:val="0"/>
          <w:numId w:val="1"/>
        </w:numPr>
        <w:spacing w:after="0" w:line="360" w:lineRule="auto"/>
        <w:ind w:left="284" w:hanging="284"/>
        <w:contextualSpacing/>
        <w:jc w:val="both"/>
        <w:rPr>
          <w:rFonts w:ascii="Palatino Linotype" w:eastAsia="Calibri" w:hAnsi="Palatino Linotype" w:cs="Arial"/>
          <w:sz w:val="24"/>
          <w:szCs w:val="24"/>
          <w:lang w:val="es-ES"/>
        </w:rPr>
      </w:pPr>
      <w:r w:rsidRPr="00386B95">
        <w:rPr>
          <w:rFonts w:ascii="Palatino Linotype" w:eastAsia="Calibri" w:hAnsi="Palatino Linotype" w:cs="Arial"/>
          <w:sz w:val="24"/>
          <w:szCs w:val="24"/>
        </w:rPr>
        <w:t>Estando de acuerdo con la resolución</w:t>
      </w:r>
      <w:r w:rsidR="009E7614">
        <w:rPr>
          <w:rFonts w:ascii="Palatino Linotype" w:eastAsia="Calibri" w:hAnsi="Palatino Linotype" w:cs="Arial"/>
          <w:sz w:val="24"/>
          <w:szCs w:val="24"/>
        </w:rPr>
        <w:t xml:space="preserve"> formulada por la comisionada</w:t>
      </w:r>
      <w:r w:rsidRPr="00386B95">
        <w:rPr>
          <w:rFonts w:ascii="Palatino Linotype" w:eastAsia="Calibri" w:hAnsi="Palatino Linotype" w:cs="Arial"/>
          <w:sz w:val="24"/>
          <w:szCs w:val="24"/>
        </w:rPr>
        <w:t xml:space="preserve"> ponente, mi voto particular se deriva de la </w:t>
      </w:r>
      <w:r w:rsidR="002A5C7F">
        <w:rPr>
          <w:rFonts w:ascii="Palatino Linotype" w:eastAsia="Calibri" w:hAnsi="Palatino Linotype" w:cs="Arial"/>
          <w:sz w:val="24"/>
          <w:szCs w:val="24"/>
        </w:rPr>
        <w:t xml:space="preserve">información </w:t>
      </w:r>
      <w:r w:rsidRPr="00386B95">
        <w:rPr>
          <w:rFonts w:ascii="Palatino Linotype" w:eastAsia="Calibri" w:hAnsi="Palatino Linotype" w:cs="Arial"/>
          <w:sz w:val="24"/>
          <w:szCs w:val="24"/>
        </w:rPr>
        <w:t xml:space="preserve">que se ordena </w:t>
      </w:r>
      <w:r w:rsidR="002A5C7F">
        <w:rPr>
          <w:rFonts w:ascii="Palatino Linotype" w:eastAsia="Calibri" w:hAnsi="Palatino Linotype" w:cs="Arial"/>
          <w:sz w:val="24"/>
          <w:szCs w:val="24"/>
        </w:rPr>
        <w:t>clasificar</w:t>
      </w:r>
      <w:r w:rsidRPr="00386B95">
        <w:rPr>
          <w:rFonts w:ascii="Palatino Linotype" w:eastAsia="Calibri" w:hAnsi="Palatino Linotype" w:cs="Arial"/>
          <w:sz w:val="24"/>
          <w:szCs w:val="24"/>
        </w:rPr>
        <w:t xml:space="preserve"> respecto del nombre del arquitecto. </w:t>
      </w:r>
      <w:r w:rsidRPr="00386B95">
        <w:rPr>
          <w:rFonts w:ascii="Palatino Linotype" w:eastAsia="Calibri" w:hAnsi="Palatino Linotype" w:cs="Arial"/>
          <w:sz w:val="24"/>
          <w:szCs w:val="24"/>
          <w:lang w:val="es-ES"/>
        </w:rPr>
        <w:t>Por</w:t>
      </w:r>
      <w:r w:rsidRPr="00386B95">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386B95" w:rsidRPr="00386B95" w:rsidRDefault="00386B95" w:rsidP="00386B95">
      <w:pPr>
        <w:spacing w:after="0" w:line="360" w:lineRule="auto"/>
        <w:jc w:val="both"/>
        <w:rPr>
          <w:rFonts w:ascii="Palatino Linotype" w:hAnsi="Palatino Linotype" w:cs="Arial"/>
          <w:sz w:val="24"/>
          <w:szCs w:val="24"/>
        </w:rPr>
      </w:pPr>
    </w:p>
    <w:p w:rsidR="0046491C" w:rsidRPr="005C70E8" w:rsidRDefault="0046491C" w:rsidP="00F86858">
      <w:pPr>
        <w:pStyle w:val="Ttulo1"/>
        <w:numPr>
          <w:ilvl w:val="0"/>
          <w:numId w:val="12"/>
        </w:numPr>
        <w:ind w:left="426" w:hanging="426"/>
        <w:rPr>
          <w:rFonts w:ascii="Palatino Linotype" w:hAnsi="Palatino Linotype"/>
          <w:b/>
          <w:color w:val="auto"/>
          <w:sz w:val="24"/>
          <w:szCs w:val="24"/>
        </w:rPr>
      </w:pPr>
      <w:bookmarkStart w:id="1" w:name="_Toc522533869"/>
      <w:bookmarkStart w:id="2" w:name="_Toc522548932"/>
      <w:r w:rsidRPr="005C70E8">
        <w:rPr>
          <w:rFonts w:ascii="Palatino Linotype" w:hAnsi="Palatino Linotype"/>
          <w:b/>
          <w:color w:val="auto"/>
          <w:sz w:val="24"/>
          <w:szCs w:val="24"/>
        </w:rPr>
        <w:t>De los requerimientos planteados en el recurso de revisión.</w:t>
      </w:r>
      <w:bookmarkEnd w:id="1"/>
      <w:bookmarkEnd w:id="2"/>
    </w:p>
    <w:p w:rsidR="0046491C" w:rsidRPr="005C70E8" w:rsidRDefault="0046491C" w:rsidP="0046491C">
      <w:pPr>
        <w:pStyle w:val="Prrafodelista"/>
        <w:spacing w:line="360" w:lineRule="auto"/>
        <w:ind w:left="1080"/>
        <w:jc w:val="both"/>
        <w:rPr>
          <w:rFonts w:ascii="Palatino Linotype" w:hAnsi="Palatino Linotype" w:cs="Arial"/>
          <w:b/>
          <w:sz w:val="24"/>
          <w:szCs w:val="24"/>
        </w:rPr>
      </w:pPr>
    </w:p>
    <w:p w:rsidR="00275F45" w:rsidRPr="007747F5" w:rsidRDefault="00B6294F" w:rsidP="007747F5">
      <w:pPr>
        <w:pStyle w:val="Prrafodelista"/>
        <w:numPr>
          <w:ilvl w:val="0"/>
          <w:numId w:val="1"/>
        </w:numPr>
        <w:spacing w:after="0" w:line="360" w:lineRule="auto"/>
        <w:jc w:val="both"/>
        <w:rPr>
          <w:rFonts w:ascii="Palatino Linotype" w:eastAsia="Times New Roman" w:hAnsi="Palatino Linotype" w:cs="Arial"/>
          <w:sz w:val="24"/>
          <w:szCs w:val="24"/>
        </w:rPr>
      </w:pPr>
      <w:proofErr w:type="spellStart"/>
      <w:r>
        <w:rPr>
          <w:rFonts w:ascii="Palatino Linotype" w:hAnsi="Palatino Linotype" w:cs="Arial"/>
          <w:b/>
          <w:sz w:val="24"/>
          <w:szCs w:val="24"/>
        </w:rPr>
        <w:t>Xxxxxx</w:t>
      </w:r>
      <w:proofErr w:type="spellEnd"/>
      <w:r w:rsidR="0046491C" w:rsidRPr="005C70E8">
        <w:rPr>
          <w:rFonts w:ascii="Palatino Linotype" w:hAnsi="Palatino Linotype" w:cs="Arial"/>
          <w:sz w:val="24"/>
          <w:szCs w:val="24"/>
        </w:rPr>
        <w:t xml:space="preserve">, mediante la solicitud de acceso a la información </w:t>
      </w:r>
      <w:r w:rsidR="00386B95">
        <w:rPr>
          <w:rFonts w:ascii="Palatino Linotype" w:hAnsi="Palatino Linotype" w:cs="Arial"/>
          <w:b/>
          <w:sz w:val="24"/>
          <w:szCs w:val="24"/>
        </w:rPr>
        <w:t>00089/PRI/IP/2018</w:t>
      </w:r>
      <w:r w:rsidR="007E3BEE">
        <w:rPr>
          <w:rFonts w:ascii="Palatino Linotype" w:hAnsi="Palatino Linotype" w:cs="Arial"/>
          <w:b/>
          <w:sz w:val="24"/>
          <w:szCs w:val="24"/>
        </w:rPr>
        <w:t xml:space="preserve"> </w:t>
      </w:r>
      <w:r w:rsidR="00275F45" w:rsidRPr="005C70E8">
        <w:rPr>
          <w:rFonts w:ascii="Palatino Linotype" w:hAnsi="Palatino Linotype" w:cs="Arial"/>
          <w:sz w:val="24"/>
          <w:szCs w:val="24"/>
        </w:rPr>
        <w:t>requirió</w:t>
      </w:r>
      <w:r w:rsidR="0046491C" w:rsidRPr="005C70E8">
        <w:rPr>
          <w:rFonts w:ascii="Palatino Linotype" w:hAnsi="Palatino Linotype" w:cs="Arial"/>
          <w:sz w:val="24"/>
          <w:szCs w:val="24"/>
        </w:rPr>
        <w:t xml:space="preserve"> lo siguiente: </w:t>
      </w:r>
    </w:p>
    <w:p w:rsidR="007747F5" w:rsidRPr="007747F5" w:rsidRDefault="007747F5" w:rsidP="007747F5">
      <w:pPr>
        <w:pStyle w:val="Prrafodelista"/>
        <w:spacing w:after="0" w:line="360" w:lineRule="auto"/>
        <w:ind w:left="360"/>
        <w:jc w:val="both"/>
        <w:rPr>
          <w:rFonts w:ascii="Palatino Linotype" w:eastAsia="Times New Roman" w:hAnsi="Palatino Linotype" w:cs="Arial"/>
          <w:sz w:val="24"/>
          <w:szCs w:val="24"/>
        </w:rPr>
      </w:pPr>
    </w:p>
    <w:p w:rsidR="0000525F" w:rsidRPr="00386B95" w:rsidRDefault="007747F5" w:rsidP="0028712D">
      <w:pPr>
        <w:pStyle w:val="Prrafodelista"/>
        <w:spacing w:after="0" w:line="360" w:lineRule="auto"/>
        <w:ind w:left="709" w:right="474"/>
        <w:jc w:val="both"/>
        <w:rPr>
          <w:rFonts w:ascii="Palatino Linotype" w:eastAsia="Times New Roman" w:hAnsi="Palatino Linotype" w:cs="Times New Roman"/>
          <w:i/>
          <w:sz w:val="24"/>
          <w:szCs w:val="24"/>
          <w:lang w:val="es-ES" w:eastAsia="es-ES"/>
        </w:rPr>
      </w:pPr>
      <w:r w:rsidRPr="00386B95">
        <w:rPr>
          <w:rFonts w:ascii="Palatino Linotype" w:hAnsi="Palatino Linotype" w:cs="Arial"/>
          <w:i/>
          <w:sz w:val="24"/>
          <w:szCs w:val="24"/>
          <w:lang w:val="es-ES" w:eastAsia="es-MX"/>
        </w:rPr>
        <w:t>“</w:t>
      </w:r>
      <w:r w:rsidR="00386B95" w:rsidRPr="00386B95">
        <w:rPr>
          <w:rFonts w:ascii="Palatino Linotype" w:hAnsi="Palatino Linotype" w:cs="Arial"/>
          <w:i/>
          <w:sz w:val="24"/>
          <w:szCs w:val="24"/>
          <w:lang w:eastAsia="es-MX"/>
        </w:rPr>
        <w:t xml:space="preserve">La información que requiero es de la ampliación que </w:t>
      </w:r>
      <w:proofErr w:type="spellStart"/>
      <w:r w:rsidR="00386B95" w:rsidRPr="00386B95">
        <w:rPr>
          <w:rFonts w:ascii="Palatino Linotype" w:hAnsi="Palatino Linotype" w:cs="Arial"/>
          <w:i/>
          <w:sz w:val="24"/>
          <w:szCs w:val="24"/>
          <w:lang w:eastAsia="es-MX"/>
        </w:rPr>
        <w:t>esta</w:t>
      </w:r>
      <w:proofErr w:type="spellEnd"/>
      <w:r w:rsidR="00386B95" w:rsidRPr="00386B95">
        <w:rPr>
          <w:rFonts w:ascii="Palatino Linotype" w:hAnsi="Palatino Linotype" w:cs="Arial"/>
          <w:i/>
          <w:sz w:val="24"/>
          <w:szCs w:val="24"/>
          <w:lang w:eastAsia="es-MX"/>
        </w:rPr>
        <w:t xml:space="preserve"> realizando el PRI central que </w:t>
      </w:r>
      <w:proofErr w:type="spellStart"/>
      <w:r w:rsidR="00386B95" w:rsidRPr="00386B95">
        <w:rPr>
          <w:rFonts w:ascii="Palatino Linotype" w:hAnsi="Palatino Linotype" w:cs="Arial"/>
          <w:i/>
          <w:sz w:val="24"/>
          <w:szCs w:val="24"/>
          <w:lang w:eastAsia="es-MX"/>
        </w:rPr>
        <w:t>esta</w:t>
      </w:r>
      <w:proofErr w:type="spellEnd"/>
      <w:r w:rsidR="00386B95" w:rsidRPr="00386B95">
        <w:rPr>
          <w:rFonts w:ascii="Palatino Linotype" w:hAnsi="Palatino Linotype" w:cs="Arial"/>
          <w:i/>
          <w:sz w:val="24"/>
          <w:szCs w:val="24"/>
          <w:lang w:eastAsia="es-MX"/>
        </w:rPr>
        <w:t xml:space="preserve"> en </w:t>
      </w:r>
      <w:proofErr w:type="spellStart"/>
      <w:r w:rsidR="00386B95" w:rsidRPr="00386B95">
        <w:rPr>
          <w:rFonts w:ascii="Palatino Linotype" w:hAnsi="Palatino Linotype" w:cs="Arial"/>
          <w:i/>
          <w:sz w:val="24"/>
          <w:szCs w:val="24"/>
          <w:lang w:eastAsia="es-MX"/>
        </w:rPr>
        <w:t>toluca</w:t>
      </w:r>
      <w:proofErr w:type="spellEnd"/>
      <w:r w:rsidR="00386B95" w:rsidRPr="00386B95">
        <w:rPr>
          <w:rFonts w:ascii="Palatino Linotype" w:hAnsi="Palatino Linotype" w:cs="Arial"/>
          <w:i/>
          <w:sz w:val="24"/>
          <w:szCs w:val="24"/>
          <w:lang w:eastAsia="es-MX"/>
        </w:rPr>
        <w:t xml:space="preserve"> en </w:t>
      </w:r>
      <w:proofErr w:type="spellStart"/>
      <w:r w:rsidR="00386B95" w:rsidRPr="00386B95">
        <w:rPr>
          <w:rFonts w:ascii="Palatino Linotype" w:hAnsi="Palatino Linotype" w:cs="Arial"/>
          <w:i/>
          <w:sz w:val="24"/>
          <w:szCs w:val="24"/>
          <w:lang w:eastAsia="es-MX"/>
        </w:rPr>
        <w:t>alfredo</w:t>
      </w:r>
      <w:proofErr w:type="spellEnd"/>
      <w:r w:rsidR="00386B95" w:rsidRPr="00386B95">
        <w:rPr>
          <w:rFonts w:ascii="Palatino Linotype" w:hAnsi="Palatino Linotype" w:cs="Arial"/>
          <w:i/>
          <w:sz w:val="24"/>
          <w:szCs w:val="24"/>
          <w:lang w:eastAsia="es-MX"/>
        </w:rPr>
        <w:t xml:space="preserve"> del mazo al lado del hospital san juan de </w:t>
      </w:r>
      <w:r w:rsidR="00386B95" w:rsidRPr="00386B95">
        <w:rPr>
          <w:rFonts w:ascii="Palatino Linotype" w:hAnsi="Palatino Linotype" w:cs="Arial"/>
          <w:i/>
          <w:sz w:val="24"/>
          <w:szCs w:val="24"/>
          <w:lang w:eastAsia="es-MX"/>
        </w:rPr>
        <w:lastRenderedPageBreak/>
        <w:t xml:space="preserve">donde se puede ver la nave industrial que </w:t>
      </w:r>
      <w:proofErr w:type="spellStart"/>
      <w:r w:rsidR="00386B95" w:rsidRPr="00386B95">
        <w:rPr>
          <w:rFonts w:ascii="Palatino Linotype" w:hAnsi="Palatino Linotype" w:cs="Arial"/>
          <w:i/>
          <w:sz w:val="24"/>
          <w:szCs w:val="24"/>
          <w:lang w:eastAsia="es-MX"/>
        </w:rPr>
        <w:t>esta</w:t>
      </w:r>
      <w:proofErr w:type="spellEnd"/>
      <w:r w:rsidR="00386B95" w:rsidRPr="00386B95">
        <w:rPr>
          <w:rFonts w:ascii="Palatino Linotype" w:hAnsi="Palatino Linotype" w:cs="Arial"/>
          <w:i/>
          <w:sz w:val="24"/>
          <w:szCs w:val="24"/>
          <w:lang w:eastAsia="es-MX"/>
        </w:rPr>
        <w:t xml:space="preserve"> haciendo. quiero quien es el arquitecto, cuantas personas trabajan para la construcción, como fue su método de selección para contratar a la empresa que realiza la obra, el contrato, las facturas pagadas y la forma de pago quiero los cheques y/o las transferencias realizadas a la empresa, registro federal de contribuyentes, en que gasto lo pusieron si en el ordinario o forma parte de su campaña, todos los documentos que me sean entregados si realizan versiones publicas necesito el acta de su consejo, su acuerdo, o minuta, su versión estenografiara</w:t>
      </w:r>
      <w:r w:rsidRPr="00386B95">
        <w:rPr>
          <w:rFonts w:ascii="Palatino Linotype" w:hAnsi="Palatino Linotype" w:cs="Arial"/>
          <w:i/>
          <w:sz w:val="24"/>
          <w:szCs w:val="24"/>
          <w:lang w:val="es-ES" w:eastAsia="es-MX"/>
        </w:rPr>
        <w:t>.”</w:t>
      </w:r>
      <w:r w:rsidR="006E3748" w:rsidRPr="00386B95">
        <w:rPr>
          <w:rFonts w:ascii="Palatino Linotype" w:hAnsi="Palatino Linotype" w:cs="Arial"/>
          <w:i/>
          <w:sz w:val="24"/>
          <w:szCs w:val="24"/>
          <w:lang w:eastAsia="es-MX"/>
        </w:rPr>
        <w:t xml:space="preserve"> </w:t>
      </w:r>
      <w:r w:rsidR="00DB084B" w:rsidRPr="00386B95">
        <w:rPr>
          <w:rFonts w:ascii="Palatino Linotype" w:eastAsia="Times New Roman" w:hAnsi="Palatino Linotype" w:cs="Times New Roman"/>
          <w:i/>
          <w:sz w:val="24"/>
          <w:szCs w:val="24"/>
          <w:lang w:val="es-ES" w:eastAsia="es-ES"/>
        </w:rPr>
        <w:t>(</w:t>
      </w:r>
      <w:r w:rsidR="00275F45" w:rsidRPr="00386B95">
        <w:rPr>
          <w:rFonts w:ascii="Palatino Linotype" w:eastAsia="Times New Roman" w:hAnsi="Palatino Linotype" w:cs="Times New Roman"/>
          <w:i/>
          <w:sz w:val="24"/>
          <w:szCs w:val="24"/>
          <w:lang w:val="es-ES" w:eastAsia="es-ES"/>
        </w:rPr>
        <w:t>S</w:t>
      </w:r>
      <w:r w:rsidR="00DB084B" w:rsidRPr="00386B95">
        <w:rPr>
          <w:rFonts w:ascii="Palatino Linotype" w:eastAsia="Times New Roman" w:hAnsi="Palatino Linotype" w:cs="Times New Roman"/>
          <w:i/>
          <w:sz w:val="24"/>
          <w:szCs w:val="24"/>
          <w:lang w:val="es-ES" w:eastAsia="es-ES"/>
        </w:rPr>
        <w:t>ic)</w:t>
      </w:r>
    </w:p>
    <w:p w:rsidR="00275F45" w:rsidRPr="005C70E8" w:rsidRDefault="00275F45" w:rsidP="00A9597F">
      <w:pPr>
        <w:spacing w:after="0" w:line="360" w:lineRule="auto"/>
        <w:jc w:val="both"/>
        <w:rPr>
          <w:rFonts w:ascii="Palatino Linotype" w:eastAsia="Times New Roman" w:hAnsi="Palatino Linotype" w:cs="Arial"/>
          <w:sz w:val="24"/>
          <w:szCs w:val="24"/>
        </w:rPr>
      </w:pPr>
    </w:p>
    <w:p w:rsidR="002A5C7F" w:rsidRPr="002A5C7F" w:rsidRDefault="0046491C" w:rsidP="002A5C7F">
      <w:pPr>
        <w:pStyle w:val="Prrafodelista"/>
        <w:numPr>
          <w:ilvl w:val="0"/>
          <w:numId w:val="1"/>
        </w:numPr>
        <w:spacing w:after="0" w:line="360" w:lineRule="auto"/>
        <w:jc w:val="both"/>
        <w:rPr>
          <w:rFonts w:ascii="Palatino Linotype" w:hAnsi="Palatino Linotype" w:cs="Arial"/>
          <w:i/>
          <w:sz w:val="24"/>
          <w:szCs w:val="24"/>
          <w:lang w:eastAsia="es-MX"/>
        </w:rPr>
      </w:pPr>
      <w:r w:rsidRPr="005C70E8">
        <w:rPr>
          <w:rFonts w:ascii="Palatino Linotype" w:hAnsi="Palatino Linotype" w:cs="Arial"/>
          <w:sz w:val="24"/>
          <w:szCs w:val="24"/>
        </w:rPr>
        <w:t xml:space="preserve">Sin embargo, el </w:t>
      </w:r>
      <w:r w:rsidRPr="005C70E8">
        <w:rPr>
          <w:rFonts w:ascii="Palatino Linotype" w:hAnsi="Palatino Linotype" w:cs="Arial"/>
          <w:b/>
          <w:sz w:val="24"/>
          <w:szCs w:val="24"/>
        </w:rPr>
        <w:t>SUJETO OBLIGADO</w:t>
      </w:r>
      <w:r w:rsidRPr="005C70E8">
        <w:rPr>
          <w:rFonts w:ascii="Palatino Linotype" w:hAnsi="Palatino Linotype" w:cs="Arial"/>
          <w:sz w:val="24"/>
          <w:szCs w:val="24"/>
        </w:rPr>
        <w:t xml:space="preserve"> en su</w:t>
      </w:r>
      <w:r w:rsidR="00A9597F" w:rsidRPr="005C70E8">
        <w:rPr>
          <w:rFonts w:ascii="Palatino Linotype" w:hAnsi="Palatino Linotype" w:cs="Arial"/>
          <w:sz w:val="24"/>
          <w:szCs w:val="24"/>
        </w:rPr>
        <w:t>s</w:t>
      </w:r>
      <w:r w:rsidRPr="005C70E8">
        <w:rPr>
          <w:rFonts w:ascii="Palatino Linotype" w:hAnsi="Palatino Linotype" w:cs="Arial"/>
          <w:sz w:val="24"/>
          <w:szCs w:val="24"/>
        </w:rPr>
        <w:t xml:space="preserve"> respuesta</w:t>
      </w:r>
      <w:r w:rsidR="00A9597F" w:rsidRPr="005C70E8">
        <w:rPr>
          <w:rFonts w:ascii="Palatino Linotype" w:hAnsi="Palatino Linotype" w:cs="Arial"/>
          <w:sz w:val="24"/>
          <w:szCs w:val="24"/>
        </w:rPr>
        <w:t>s</w:t>
      </w:r>
      <w:r w:rsidR="00937D7D" w:rsidRPr="005C70E8">
        <w:rPr>
          <w:rFonts w:ascii="Palatino Linotype" w:hAnsi="Palatino Linotype" w:cs="Arial"/>
          <w:sz w:val="24"/>
          <w:szCs w:val="24"/>
        </w:rPr>
        <w:t xml:space="preserve"> </w:t>
      </w:r>
      <w:r w:rsidR="009A5A6A" w:rsidRPr="005C70E8">
        <w:rPr>
          <w:rFonts w:ascii="Palatino Linotype" w:hAnsi="Palatino Linotype" w:cs="Arial"/>
          <w:sz w:val="24"/>
          <w:szCs w:val="24"/>
        </w:rPr>
        <w:t xml:space="preserve">se limitó </w:t>
      </w:r>
      <w:r w:rsidR="006E3748" w:rsidRPr="005C70E8">
        <w:rPr>
          <w:rFonts w:ascii="Palatino Linotype" w:hAnsi="Palatino Linotype" w:cs="Arial"/>
          <w:sz w:val="24"/>
          <w:szCs w:val="24"/>
        </w:rPr>
        <w:t xml:space="preserve">a </w:t>
      </w:r>
      <w:r w:rsidR="00BD299A" w:rsidRPr="005C70E8">
        <w:rPr>
          <w:rFonts w:ascii="Palatino Linotype" w:hAnsi="Palatino Linotype" w:cs="Arial"/>
          <w:sz w:val="24"/>
          <w:szCs w:val="24"/>
        </w:rPr>
        <w:t xml:space="preserve">mencionar </w:t>
      </w:r>
      <w:r w:rsidR="006E3748" w:rsidRPr="005C70E8">
        <w:rPr>
          <w:rFonts w:ascii="Palatino Linotype" w:hAnsi="Palatino Linotype" w:cs="Arial"/>
          <w:sz w:val="24"/>
          <w:szCs w:val="24"/>
        </w:rPr>
        <w:t>de forma medular que</w:t>
      </w:r>
      <w:r w:rsidR="0028712D">
        <w:rPr>
          <w:rFonts w:ascii="Palatino Linotype" w:hAnsi="Palatino Linotype" w:cs="Arial"/>
          <w:i/>
          <w:sz w:val="24"/>
          <w:szCs w:val="24"/>
          <w:lang w:eastAsia="es-MX"/>
        </w:rPr>
        <w:t xml:space="preserve"> “</w:t>
      </w:r>
      <w:r w:rsidR="00386B95">
        <w:rPr>
          <w:rFonts w:ascii="Palatino Linotype" w:hAnsi="Palatino Linotype" w:cs="Arial"/>
          <w:i/>
          <w:sz w:val="24"/>
          <w:szCs w:val="24"/>
          <w:lang w:eastAsia="es-MX"/>
        </w:rPr>
        <w:t>E</w:t>
      </w:r>
      <w:r w:rsidR="00386B95" w:rsidRPr="00386B95">
        <w:rPr>
          <w:rFonts w:ascii="Palatino Linotype" w:hAnsi="Palatino Linotype" w:cs="Arial"/>
          <w:i/>
          <w:sz w:val="24"/>
          <w:szCs w:val="24"/>
          <w:lang w:eastAsia="es-MX"/>
        </w:rPr>
        <w:t>n atención a su solicitud, la Unidad de Transparencia del Comité Directivo Estatal del Partido Revolucionario Institucional, giró oficio a la instancia partidaria que cuenta con las atribuciones estatutarias para conocer y registrar los datos que pide, mismo que fue recibido en la Secretaría de Finanzas y Administración el cual se adjunta como ANEXO UNO a esta respuesta. Atendiendo el requerimiento de la Unidad de Transparencia, la Secretaría en mención remitió la información solicitada por oficio, la cual se adjunta como ANEXO DOS a la respuesta, lo anterior de conformidad con el Art. 162 de la Ley de Transparencia y Acceso a la Información Pública del Estado de México y Municipios.</w:t>
      </w:r>
      <w:r w:rsidR="0028712D">
        <w:rPr>
          <w:rFonts w:ascii="Palatino Linotype" w:hAnsi="Palatino Linotype" w:cs="Arial"/>
          <w:i/>
          <w:sz w:val="24"/>
          <w:szCs w:val="24"/>
          <w:lang w:eastAsia="es-MX"/>
        </w:rPr>
        <w:t>”</w:t>
      </w:r>
    </w:p>
    <w:p w:rsidR="00386B95" w:rsidRDefault="00386B95" w:rsidP="00386B95">
      <w:pPr>
        <w:pStyle w:val="Prrafodelista"/>
        <w:spacing w:after="0" w:line="360" w:lineRule="auto"/>
        <w:ind w:left="360"/>
        <w:jc w:val="both"/>
        <w:rPr>
          <w:rFonts w:ascii="Palatino Linotype" w:hAnsi="Palatino Linotype" w:cs="Arial"/>
          <w:i/>
          <w:sz w:val="24"/>
          <w:szCs w:val="24"/>
          <w:lang w:eastAsia="es-MX"/>
        </w:rPr>
      </w:pPr>
    </w:p>
    <w:p w:rsidR="00386B95" w:rsidRPr="002A5C7F" w:rsidRDefault="00386B95" w:rsidP="00386B95">
      <w:pPr>
        <w:pStyle w:val="Prrafodelista"/>
        <w:numPr>
          <w:ilvl w:val="0"/>
          <w:numId w:val="1"/>
        </w:numPr>
        <w:spacing w:after="0" w:line="360" w:lineRule="auto"/>
        <w:jc w:val="both"/>
        <w:rPr>
          <w:rFonts w:ascii="Palatino Linotype" w:hAnsi="Palatino Linotype" w:cs="Arial"/>
          <w:i/>
          <w:sz w:val="24"/>
          <w:szCs w:val="24"/>
          <w:lang w:eastAsia="es-MX"/>
        </w:rPr>
      </w:pPr>
      <w:r w:rsidRPr="00386B95">
        <w:rPr>
          <w:rFonts w:ascii="Palatino Linotype" w:hAnsi="Palatino Linotype" w:cs="Arial"/>
          <w:sz w:val="24"/>
          <w:szCs w:val="24"/>
        </w:rPr>
        <w:lastRenderedPageBreak/>
        <w:t xml:space="preserve"> </w:t>
      </w:r>
      <w:r w:rsidRPr="00386B95">
        <w:rPr>
          <w:rFonts w:ascii="Palatino Linotype" w:eastAsia="Times New Roman" w:hAnsi="Palatino Linotype" w:cs="Times New Roman"/>
          <w:sz w:val="24"/>
          <w:szCs w:val="24"/>
          <w:lang w:val="es-ES" w:eastAsia="es-ES"/>
        </w:rPr>
        <w:t xml:space="preserve">En este sentido debe mencionarse que el </w:t>
      </w:r>
      <w:r w:rsidRPr="00386B95">
        <w:rPr>
          <w:rFonts w:ascii="Palatino Linotype" w:eastAsia="Times New Roman" w:hAnsi="Palatino Linotype" w:cs="Times New Roman"/>
          <w:b/>
          <w:sz w:val="24"/>
          <w:szCs w:val="24"/>
          <w:lang w:val="es-ES" w:eastAsia="es-ES"/>
        </w:rPr>
        <w:t>Sujeto Obligado</w:t>
      </w:r>
      <w:r w:rsidRPr="00386B95">
        <w:rPr>
          <w:rFonts w:ascii="Palatino Linotype" w:eastAsia="Times New Roman" w:hAnsi="Palatino Linotype" w:cs="Times New Roman"/>
          <w:sz w:val="24"/>
          <w:szCs w:val="24"/>
          <w:lang w:val="es-ES" w:eastAsia="es-ES"/>
        </w:rPr>
        <w:t xml:space="preserve"> adjuntó los archivos electrónicos denominados</w:t>
      </w:r>
      <w:r w:rsidRPr="00386B95">
        <w:rPr>
          <w:rFonts w:ascii="Palatino Linotype" w:eastAsia="Times New Roman" w:hAnsi="Palatino Linotype" w:cs="Times New Roman"/>
          <w:sz w:val="24"/>
          <w:szCs w:val="24"/>
          <w:lang w:eastAsia="es-ES"/>
        </w:rPr>
        <w:t xml:space="preserve">: </w:t>
      </w:r>
      <w:r w:rsidRPr="00386B95">
        <w:rPr>
          <w:rFonts w:ascii="Palatino Linotype" w:eastAsia="Times New Roman" w:hAnsi="Palatino Linotype" w:cs="Times New Roman"/>
          <w:b/>
          <w:i/>
          <w:sz w:val="24"/>
          <w:szCs w:val="24"/>
          <w:lang w:val="es-ES" w:eastAsia="es-ES"/>
        </w:rPr>
        <w:t>“ANEXO DOS.pdf ” y “ANEXO DOS.pdf”</w:t>
      </w:r>
      <w:r w:rsidRPr="00386B95">
        <w:rPr>
          <w:rFonts w:ascii="Palatino Linotype" w:eastAsia="Times New Roman" w:hAnsi="Palatino Linotype" w:cs="Times New Roman"/>
          <w:sz w:val="24"/>
          <w:szCs w:val="24"/>
          <w:lang w:eastAsia="es-ES"/>
        </w:rPr>
        <w:t xml:space="preserve"> </w:t>
      </w:r>
      <w:r w:rsidRPr="00386B95">
        <w:rPr>
          <w:rFonts w:ascii="Palatino Linotype" w:eastAsia="Times New Roman" w:hAnsi="Palatino Linotype" w:cs="Times New Roman"/>
          <w:sz w:val="24"/>
          <w:szCs w:val="24"/>
          <w:lang w:val="es-ES" w:eastAsia="es-ES"/>
        </w:rPr>
        <w:t xml:space="preserve">cuyo contenido destaca: </w:t>
      </w:r>
    </w:p>
    <w:p w:rsidR="002A5C7F" w:rsidRPr="002A5C7F" w:rsidRDefault="002A5C7F" w:rsidP="002A5C7F">
      <w:pPr>
        <w:spacing w:after="0" w:line="360" w:lineRule="auto"/>
        <w:jc w:val="both"/>
        <w:rPr>
          <w:rFonts w:ascii="Palatino Linotype" w:hAnsi="Palatino Linotype" w:cs="Arial"/>
          <w:i/>
          <w:sz w:val="24"/>
          <w:szCs w:val="24"/>
          <w:lang w:eastAsia="es-MX"/>
        </w:rPr>
      </w:pPr>
    </w:p>
    <w:p w:rsidR="00386B95" w:rsidRPr="00386B95" w:rsidRDefault="00386B95" w:rsidP="00386B95">
      <w:pPr>
        <w:numPr>
          <w:ilvl w:val="0"/>
          <w:numId w:val="15"/>
        </w:numPr>
        <w:spacing w:before="240" w:after="240" w:line="360" w:lineRule="auto"/>
        <w:jc w:val="both"/>
        <w:rPr>
          <w:rFonts w:ascii="Palatino Linotype" w:eastAsia="Times New Roman" w:hAnsi="Palatino Linotype" w:cs="Times New Roman"/>
        </w:rPr>
      </w:pPr>
      <w:r w:rsidRPr="002A5C7F">
        <w:rPr>
          <w:rFonts w:ascii="Palatino Linotype" w:eastAsia="Times New Roman" w:hAnsi="Palatino Linotype" w:cs="Times New Roman"/>
          <w:b/>
          <w:i/>
          <w:lang w:val="es-ES"/>
        </w:rPr>
        <w:t xml:space="preserve">ANEXO DOS.pdf : </w:t>
      </w:r>
      <w:r w:rsidRPr="00386B95">
        <w:rPr>
          <w:rFonts w:ascii="Palatino Linotype" w:eastAsia="Times New Roman" w:hAnsi="Palatino Linotype" w:cs="Times New Roman"/>
        </w:rPr>
        <w:t>Que con fundamento en lo establecido, en los artículos 6 párrafo segundo, inciso A, de la Constitución Política de los Estados Unidos Mexicanos 30, párrafo 1, de la Ley General de Partido Políticos; 11, 12, 13 y 23 de la Ley General de Transparencia y Acceso a la Información Pública; 5 párrafo décimo cuarto y décimo quinto de la Constitución Política del Estado Libre y Soberano de México; 89 fracción XXI, 96, 136 y 137 de los Estatutos del Partido Revolucionario Institucional; 1, 2, párrafo 3 y 5, del Reglamento de Transparencia y Acceso a la Información Pública del Partido Revolucionario Institucional; por este medio hacemos de su conocimiento.</w:t>
      </w:r>
    </w:p>
    <w:p w:rsidR="00386B95" w:rsidRPr="00386B95" w:rsidRDefault="00386B95" w:rsidP="00386B95">
      <w:pPr>
        <w:numPr>
          <w:ilvl w:val="0"/>
          <w:numId w:val="15"/>
        </w:numPr>
        <w:spacing w:before="240" w:after="240" w:line="360" w:lineRule="auto"/>
        <w:jc w:val="both"/>
        <w:rPr>
          <w:rFonts w:ascii="Palatino Linotype" w:eastAsia="Times New Roman" w:hAnsi="Palatino Linotype" w:cs="Times New Roman"/>
        </w:rPr>
      </w:pPr>
      <w:r w:rsidRPr="009E7614">
        <w:rPr>
          <w:rFonts w:ascii="Palatino Linotype" w:eastAsia="Times New Roman" w:hAnsi="Palatino Linotype" w:cs="Times New Roman"/>
          <w:b/>
          <w:i/>
          <w:lang w:val="es-ES" w:eastAsia="es-ES"/>
        </w:rPr>
        <w:t>ANEXO DOS.pdf</w:t>
      </w:r>
      <w:r w:rsidRPr="002A5C7F">
        <w:rPr>
          <w:rFonts w:ascii="Palatino Linotype" w:eastAsia="Times New Roman" w:hAnsi="Palatino Linotype" w:cs="Times New Roman"/>
        </w:rPr>
        <w:t xml:space="preserve"> : </w:t>
      </w:r>
      <w:r w:rsidRPr="00386B95">
        <w:rPr>
          <w:rFonts w:ascii="Palatino Linotype" w:eastAsia="Times New Roman" w:hAnsi="Palatino Linotype" w:cs="Times New Roman"/>
        </w:rPr>
        <w:t>Que procesalmente no ha concluido la temporalidad de entrega de la información esto debido a que sigue en revisión y espera del resultado por parte del Instituto Nacional Electoral, por lo que salvaguardando su derecho de acceso a la información, posteriormente podrá acceder a la información antes solicitada.</w:t>
      </w:r>
    </w:p>
    <w:p w:rsidR="00386B95" w:rsidRPr="00386B95" w:rsidRDefault="00386B95" w:rsidP="00386B95">
      <w:pPr>
        <w:pStyle w:val="Prrafodelista"/>
        <w:rPr>
          <w:rFonts w:ascii="Palatino Linotype" w:hAnsi="Palatino Linotype" w:cs="Arial"/>
          <w:sz w:val="24"/>
          <w:szCs w:val="24"/>
        </w:rPr>
      </w:pPr>
    </w:p>
    <w:p w:rsidR="006E62FE" w:rsidRDefault="00D303EA" w:rsidP="00386B95">
      <w:pPr>
        <w:pStyle w:val="Prrafodelista"/>
        <w:numPr>
          <w:ilvl w:val="0"/>
          <w:numId w:val="1"/>
        </w:num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 xml:space="preserve">Derivado de la respuesta proporcionada por el </w:t>
      </w:r>
      <w:r>
        <w:rPr>
          <w:rFonts w:ascii="Palatino Linotype" w:hAnsi="Palatino Linotype" w:cs="Arial"/>
          <w:b/>
          <w:sz w:val="24"/>
          <w:szCs w:val="24"/>
        </w:rPr>
        <w:t>SUJETO OBLIGADO</w:t>
      </w:r>
      <w:r w:rsidR="006E3748" w:rsidRPr="005C70E8">
        <w:rPr>
          <w:rFonts w:ascii="Palatino Linotype" w:hAnsi="Palatino Linotype" w:cs="Arial"/>
          <w:sz w:val="24"/>
          <w:szCs w:val="24"/>
        </w:rPr>
        <w:t>,</w:t>
      </w:r>
      <w:r w:rsidR="00386B95">
        <w:rPr>
          <w:rFonts w:ascii="Palatino Linotype" w:hAnsi="Palatino Linotype" w:cs="Arial"/>
          <w:sz w:val="24"/>
          <w:szCs w:val="24"/>
        </w:rPr>
        <w:t xml:space="preserve"> </w:t>
      </w:r>
      <w:proofErr w:type="spellStart"/>
      <w:r w:rsidR="00B6294F">
        <w:rPr>
          <w:rFonts w:ascii="Palatino Linotype" w:hAnsi="Palatino Linotype" w:cs="Arial"/>
          <w:b/>
          <w:sz w:val="24"/>
          <w:szCs w:val="24"/>
        </w:rPr>
        <w:t>xxxxxx</w:t>
      </w:r>
      <w:proofErr w:type="spellEnd"/>
      <w:r w:rsidR="006E3748" w:rsidRPr="005C70E8">
        <w:rPr>
          <w:rFonts w:ascii="Palatino Linotype" w:hAnsi="Palatino Linotype" w:cs="Arial"/>
          <w:sz w:val="24"/>
          <w:szCs w:val="24"/>
        </w:rPr>
        <w:t xml:space="preserve">, manifestó en </w:t>
      </w:r>
      <w:r w:rsidR="0028712D">
        <w:rPr>
          <w:rFonts w:ascii="Palatino Linotype" w:hAnsi="Palatino Linotype" w:cs="Arial"/>
          <w:sz w:val="24"/>
          <w:szCs w:val="24"/>
        </w:rPr>
        <w:t xml:space="preserve">el recurso </w:t>
      </w:r>
      <w:r w:rsidR="006E3748" w:rsidRPr="005C70E8">
        <w:rPr>
          <w:rFonts w:ascii="Palatino Linotype" w:hAnsi="Palatino Linotype" w:cs="Arial"/>
          <w:sz w:val="24"/>
          <w:szCs w:val="24"/>
        </w:rPr>
        <w:t>de revisión</w:t>
      </w:r>
      <w:r w:rsidR="0028712D">
        <w:rPr>
          <w:rFonts w:ascii="Palatino Linotype" w:hAnsi="Palatino Linotype" w:cs="Arial"/>
          <w:sz w:val="24"/>
          <w:szCs w:val="24"/>
        </w:rPr>
        <w:t xml:space="preserve"> </w:t>
      </w:r>
      <w:r w:rsidR="002A5C7F">
        <w:rPr>
          <w:rFonts w:ascii="Palatino Linotype" w:hAnsi="Palatino Linotype" w:cs="Arial"/>
          <w:b/>
          <w:sz w:val="24"/>
          <w:szCs w:val="24"/>
        </w:rPr>
        <w:t>02129</w:t>
      </w:r>
      <w:r w:rsidR="0028712D" w:rsidRPr="0028712D">
        <w:rPr>
          <w:rFonts w:ascii="Palatino Linotype" w:hAnsi="Palatino Linotype" w:cs="Arial"/>
          <w:b/>
          <w:sz w:val="24"/>
          <w:szCs w:val="24"/>
        </w:rPr>
        <w:t>/INFOEM/IP/RR/2018</w:t>
      </w:r>
      <w:r w:rsidR="0028712D">
        <w:rPr>
          <w:rFonts w:ascii="Palatino Linotype" w:hAnsi="Palatino Linotype" w:cs="Arial"/>
          <w:sz w:val="24"/>
          <w:szCs w:val="24"/>
        </w:rPr>
        <w:t xml:space="preserve"> como motivos de </w:t>
      </w:r>
      <w:r w:rsidR="006E3748" w:rsidRPr="005C70E8">
        <w:rPr>
          <w:rFonts w:ascii="Palatino Linotype" w:hAnsi="Palatino Linotype" w:cs="Arial"/>
          <w:sz w:val="24"/>
          <w:szCs w:val="24"/>
        </w:rPr>
        <w:t>inconformidad, lo siguiente:</w:t>
      </w:r>
    </w:p>
    <w:p w:rsidR="0081513A" w:rsidRPr="002A5C7F" w:rsidRDefault="0028712D" w:rsidP="0028712D">
      <w:pPr>
        <w:pStyle w:val="Prrafodelista"/>
        <w:spacing w:before="240" w:after="240" w:line="360" w:lineRule="auto"/>
        <w:ind w:left="709" w:right="474"/>
        <w:jc w:val="both"/>
        <w:rPr>
          <w:rFonts w:ascii="Palatino Linotype" w:hAnsi="Palatino Linotype" w:cs="Arial"/>
          <w:i/>
          <w:sz w:val="24"/>
          <w:szCs w:val="24"/>
        </w:rPr>
      </w:pPr>
      <w:r w:rsidRPr="002A5C7F">
        <w:rPr>
          <w:rFonts w:ascii="Palatino Linotype" w:hAnsi="Palatino Linotype" w:cs="Arial"/>
          <w:i/>
          <w:sz w:val="24"/>
          <w:szCs w:val="24"/>
        </w:rPr>
        <w:lastRenderedPageBreak/>
        <w:t xml:space="preserve"> “</w:t>
      </w:r>
      <w:r w:rsidR="002A5C7F" w:rsidRPr="002A5C7F">
        <w:rPr>
          <w:rFonts w:ascii="Palatino Linotype" w:hAnsi="Palatino Linotype" w:cs="Arial"/>
          <w:i/>
          <w:sz w:val="24"/>
          <w:szCs w:val="24"/>
        </w:rPr>
        <w:t>El sujeto obligado debe conocer el término de un proceso que pueda causar daño al entregar la información como son los procesos judiciales que son un conjunto de actos jurídicos que se llevan a cabo para aplicar la ley a la resolución de un caso. ... Los actos jurídicos son del estado (como soberano), de las partes interesadas (actor y demandado) y de los terceros ajenos a la relación sustancial. Pero este no es el caso. El sujeto obligado si no quiere entregar la información debe entregar y justificar que la información se encuentra en un proceso que cause daño o entregar la información, es por ello que le solicito a los miembros del INFOEM que el sujeto obligado demuestre el proceso en que se encuentra, o que presente su acta o resolución donde justifique que la información se encuentra clasificada o reservada con la aclaración del por qué lo hace. Hago mi manifestación que ese partido quiere ocultar los recursos otorgados por el estado para manejar sus campañas electorales.</w:t>
      </w:r>
      <w:r w:rsidRPr="002A5C7F">
        <w:rPr>
          <w:rFonts w:ascii="Palatino Linotype" w:hAnsi="Palatino Linotype" w:cs="Arial"/>
          <w:i/>
          <w:sz w:val="24"/>
          <w:szCs w:val="24"/>
        </w:rPr>
        <w:t>” (Sic)</w:t>
      </w:r>
    </w:p>
    <w:p w:rsidR="0028712D" w:rsidRPr="0028712D" w:rsidRDefault="0028712D" w:rsidP="0028712D">
      <w:pPr>
        <w:pStyle w:val="Prrafodelista"/>
        <w:spacing w:before="240" w:after="240" w:line="360" w:lineRule="auto"/>
        <w:ind w:left="360" w:right="900"/>
        <w:jc w:val="both"/>
        <w:rPr>
          <w:rFonts w:ascii="Palatino Linotype" w:hAnsi="Palatino Linotype" w:cs="Arial"/>
          <w:i/>
          <w:sz w:val="24"/>
          <w:szCs w:val="24"/>
        </w:rPr>
      </w:pPr>
    </w:p>
    <w:p w:rsidR="0028712D" w:rsidRPr="0028712D" w:rsidRDefault="00F92351" w:rsidP="0028712D">
      <w:pPr>
        <w:pStyle w:val="Prrafodelista"/>
        <w:numPr>
          <w:ilvl w:val="0"/>
          <w:numId w:val="1"/>
        </w:numPr>
        <w:spacing w:after="0" w:line="360" w:lineRule="auto"/>
        <w:jc w:val="both"/>
        <w:rPr>
          <w:rFonts w:ascii="Palatino Linotype" w:hAnsi="Palatino Linotype" w:cs="Arial"/>
          <w:i/>
          <w:sz w:val="24"/>
          <w:szCs w:val="24"/>
        </w:rPr>
      </w:pPr>
      <w:r w:rsidRPr="005C70E8">
        <w:rPr>
          <w:rFonts w:ascii="Palatino Linotype" w:hAnsi="Palatino Linotype" w:cs="Arial"/>
          <w:sz w:val="24"/>
          <w:szCs w:val="24"/>
        </w:rPr>
        <w:t xml:space="preserve">Por su parte, el </w:t>
      </w:r>
      <w:r w:rsidR="00D303EA" w:rsidRPr="00D303EA">
        <w:rPr>
          <w:rFonts w:ascii="Palatino Linotype" w:hAnsi="Palatino Linotype" w:cs="Arial"/>
          <w:b/>
          <w:sz w:val="24"/>
          <w:szCs w:val="24"/>
        </w:rPr>
        <w:t>SUJETO OBLIGADO</w:t>
      </w:r>
      <w:r w:rsidR="00D303EA">
        <w:rPr>
          <w:rFonts w:ascii="Palatino Linotype" w:hAnsi="Palatino Linotype" w:cs="Arial"/>
          <w:sz w:val="24"/>
          <w:szCs w:val="24"/>
        </w:rPr>
        <w:t xml:space="preserve"> mediante informe justificado confirmó</w:t>
      </w:r>
      <w:r w:rsidR="002A5C7F">
        <w:rPr>
          <w:rFonts w:ascii="Palatino Linotype" w:hAnsi="Palatino Linotype" w:cs="Arial"/>
          <w:sz w:val="24"/>
          <w:szCs w:val="24"/>
        </w:rPr>
        <w:t xml:space="preserve"> </w:t>
      </w:r>
      <w:r w:rsidR="00D303EA">
        <w:rPr>
          <w:rFonts w:ascii="Palatino Linotype" w:hAnsi="Palatino Linotype" w:cs="Arial"/>
          <w:sz w:val="24"/>
          <w:szCs w:val="24"/>
        </w:rPr>
        <w:t>su</w:t>
      </w:r>
      <w:r w:rsidR="002A5C7F">
        <w:rPr>
          <w:rFonts w:ascii="Palatino Linotype" w:hAnsi="Palatino Linotype" w:cs="Arial"/>
          <w:sz w:val="24"/>
          <w:szCs w:val="24"/>
        </w:rPr>
        <w:t xml:space="preserve"> respuesta </w:t>
      </w:r>
      <w:r w:rsidR="00D303EA">
        <w:rPr>
          <w:rFonts w:ascii="Palatino Linotype" w:hAnsi="Palatino Linotype" w:cs="Arial"/>
          <w:sz w:val="24"/>
          <w:szCs w:val="24"/>
        </w:rPr>
        <w:t>a la solicitud de información primigenia</w:t>
      </w:r>
      <w:r w:rsidR="002A5C7F">
        <w:rPr>
          <w:rFonts w:ascii="Palatino Linotype" w:hAnsi="Palatino Linotype" w:cs="Arial"/>
          <w:sz w:val="24"/>
          <w:szCs w:val="24"/>
        </w:rPr>
        <w:t>.</w:t>
      </w:r>
    </w:p>
    <w:p w:rsidR="009C04C7" w:rsidRPr="005C70E8" w:rsidRDefault="009C04C7" w:rsidP="009C04C7">
      <w:pPr>
        <w:pStyle w:val="Prrafodelista"/>
        <w:rPr>
          <w:rFonts w:ascii="Palatino Linotype" w:hAnsi="Palatino Linotype" w:cs="Arial"/>
          <w:i/>
          <w:sz w:val="24"/>
          <w:szCs w:val="24"/>
        </w:rPr>
      </w:pPr>
    </w:p>
    <w:p w:rsidR="00891FBE" w:rsidRDefault="00EC68E3" w:rsidP="00891FBE">
      <w:pPr>
        <w:pStyle w:val="Prrafodelista"/>
        <w:keepNext/>
        <w:keepLines/>
        <w:numPr>
          <w:ilvl w:val="0"/>
          <w:numId w:val="12"/>
        </w:numPr>
        <w:spacing w:before="40" w:after="0"/>
        <w:ind w:left="567" w:hanging="567"/>
        <w:outlineLvl w:val="1"/>
        <w:rPr>
          <w:rFonts w:ascii="Palatino Linotype" w:eastAsiaTheme="majorEastAsia" w:hAnsi="Palatino Linotype" w:cs="Arial"/>
          <w:b/>
          <w:iCs/>
          <w:color w:val="000000" w:themeColor="text1"/>
          <w:sz w:val="24"/>
          <w:szCs w:val="24"/>
        </w:rPr>
      </w:pPr>
      <w:bookmarkStart w:id="3" w:name="_Toc499289482"/>
      <w:bookmarkStart w:id="4" w:name="_Toc522533870"/>
      <w:bookmarkStart w:id="5" w:name="_Toc522548933"/>
      <w:r w:rsidRPr="005C70E8">
        <w:rPr>
          <w:rFonts w:ascii="Palatino Linotype" w:eastAsiaTheme="majorEastAsia" w:hAnsi="Palatino Linotype" w:cs="Arial"/>
          <w:b/>
          <w:iCs/>
          <w:color w:val="000000" w:themeColor="text1"/>
          <w:sz w:val="24"/>
          <w:szCs w:val="24"/>
        </w:rPr>
        <w:t>El derecho de acceso a la información pública.</w:t>
      </w:r>
      <w:bookmarkEnd w:id="3"/>
      <w:bookmarkEnd w:id="4"/>
      <w:bookmarkEnd w:id="5"/>
      <w:r w:rsidRPr="005C70E8">
        <w:rPr>
          <w:rFonts w:ascii="Palatino Linotype" w:eastAsiaTheme="majorEastAsia" w:hAnsi="Palatino Linotype" w:cs="Arial"/>
          <w:b/>
          <w:iCs/>
          <w:color w:val="000000" w:themeColor="text1"/>
          <w:sz w:val="24"/>
          <w:szCs w:val="24"/>
        </w:rPr>
        <w:t xml:space="preserve"> </w:t>
      </w:r>
    </w:p>
    <w:p w:rsidR="00891FBE" w:rsidRPr="00891FBE" w:rsidRDefault="00891FBE" w:rsidP="00891FBE">
      <w:pPr>
        <w:pStyle w:val="Prrafodelista"/>
        <w:keepNext/>
        <w:keepLines/>
        <w:spacing w:before="40" w:after="0"/>
        <w:ind w:left="567"/>
        <w:outlineLvl w:val="1"/>
        <w:rPr>
          <w:rFonts w:ascii="Palatino Linotype" w:eastAsiaTheme="majorEastAsia" w:hAnsi="Palatino Linotype" w:cs="Arial"/>
          <w:b/>
          <w:iCs/>
          <w:color w:val="000000" w:themeColor="text1"/>
          <w:sz w:val="24"/>
          <w:szCs w:val="24"/>
        </w:rPr>
      </w:pPr>
    </w:p>
    <w:p w:rsidR="00EC68E3" w:rsidRPr="005C70E8" w:rsidRDefault="00EC68E3" w:rsidP="00EC68E3">
      <w:pPr>
        <w:pStyle w:val="Prrafodelista"/>
        <w:numPr>
          <w:ilvl w:val="0"/>
          <w:numId w:val="1"/>
        </w:numPr>
        <w:spacing w:before="240" w:after="0" w:line="360" w:lineRule="auto"/>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Como establece el primer párrafo del artículo primero de la Constitución Política de los Estados Unidos Mexicanos, en nuestro país las personas gozan de los derechos reconocidos en dicho instrumento fundamental y en los tratados </w:t>
      </w:r>
      <w:r w:rsidR="00AD4A63" w:rsidRPr="005C70E8">
        <w:rPr>
          <w:rFonts w:ascii="Palatino Linotype" w:hAnsi="Palatino Linotype" w:cs="Arial"/>
          <w:color w:val="000000" w:themeColor="text1"/>
          <w:sz w:val="24"/>
          <w:szCs w:val="24"/>
        </w:rPr>
        <w:t>internacionales,</w:t>
      </w:r>
      <w:r w:rsidRPr="005C70E8">
        <w:rPr>
          <w:rFonts w:ascii="Palatino Linotype" w:hAnsi="Palatino Linotype" w:cs="Arial"/>
          <w:color w:val="000000" w:themeColor="text1"/>
          <w:sz w:val="24"/>
          <w:szCs w:val="24"/>
        </w:rPr>
        <w:t xml:space="preserve"> así como de las garantías para su protección. Entre estos </w:t>
      </w:r>
      <w:r w:rsidRPr="005C70E8">
        <w:rPr>
          <w:rFonts w:ascii="Palatino Linotype" w:hAnsi="Palatino Linotype" w:cs="Arial"/>
          <w:color w:val="000000" w:themeColor="text1"/>
          <w:sz w:val="24"/>
          <w:szCs w:val="24"/>
        </w:rPr>
        <w:lastRenderedPageBreak/>
        <w:t xml:space="preserve">derechos se encuentra el derecho de acceso a la información pública reconocido </w:t>
      </w:r>
      <w:r w:rsidRPr="005C70E8">
        <w:rPr>
          <w:rFonts w:ascii="Palatino Linotype" w:eastAsia="Calibri" w:hAnsi="Palatino Linotype" w:cs="Arial"/>
          <w:color w:val="000000" w:themeColor="text1"/>
          <w:sz w:val="24"/>
          <w:szCs w:val="24"/>
          <w:lang w:val="es-ES" w:eastAsia="es-ES"/>
        </w:rPr>
        <w:t xml:space="preserve">en el Pacto de Derechos Civiles y Políticos en su artículo 19.2; en la Convención Americana sobre Derechos Humanos en su artículo 13.1; en el artículo sexto de la Constitución Política de los Estados Unidos Mexicanos y en el artículo quinto de la Constitución del Estado de México. Ya sea que entendamos a los derechos como realidades positivas que forman parte de </w:t>
      </w:r>
      <w:r w:rsidRPr="005C70E8">
        <w:rPr>
          <w:rFonts w:ascii="Palatino Linotype" w:eastAsia="Calibri" w:hAnsi="Palatino Linotype" w:cs="Arial"/>
          <w:i/>
          <w:color w:val="000000" w:themeColor="text1"/>
          <w:sz w:val="24"/>
          <w:szCs w:val="24"/>
          <w:lang w:val="es-ES" w:eastAsia="es-ES"/>
        </w:rPr>
        <w:t>la esfera de lo indecidible que</w:t>
      </w:r>
      <w:r w:rsidRPr="005C70E8">
        <w:rPr>
          <w:rFonts w:ascii="Palatino Linotype" w:eastAsia="Calibri" w:hAnsi="Palatino Linotype" w:cs="Arial"/>
          <w:color w:val="000000" w:themeColor="text1"/>
          <w:sz w:val="24"/>
          <w:szCs w:val="24"/>
          <w:lang w:val="es-ES" w:eastAsia="es-ES"/>
        </w:rPr>
        <w:t xml:space="preserve"> o de</w:t>
      </w:r>
      <w:r w:rsidRPr="005C70E8">
        <w:rPr>
          <w:rFonts w:ascii="Palatino Linotype" w:eastAsia="Calibri" w:hAnsi="Palatino Linotype" w:cs="Arial"/>
          <w:i/>
          <w:color w:val="000000" w:themeColor="text1"/>
          <w:sz w:val="24"/>
          <w:szCs w:val="24"/>
          <w:lang w:val="es-ES" w:eastAsia="es-ES"/>
        </w:rPr>
        <w:t xml:space="preserve"> lo indecidible que no</w:t>
      </w:r>
      <w:r w:rsidRPr="005C70E8">
        <w:rPr>
          <w:rFonts w:eastAsia="Calibri"/>
          <w:i/>
          <w:sz w:val="24"/>
          <w:szCs w:val="24"/>
          <w:vertAlign w:val="superscript"/>
          <w:lang w:val="es-ES" w:eastAsia="es-ES"/>
        </w:rPr>
        <w:footnoteReference w:id="1"/>
      </w:r>
      <w:r w:rsidRPr="005C70E8">
        <w:rPr>
          <w:rFonts w:ascii="Palatino Linotype" w:eastAsia="Calibri" w:hAnsi="Palatino Linotype" w:cs="Arial"/>
          <w:color w:val="000000" w:themeColor="text1"/>
          <w:sz w:val="24"/>
          <w:szCs w:val="24"/>
          <w:lang w:val="es-ES" w:eastAsia="es-ES"/>
        </w:rPr>
        <w:t xml:space="preserve"> o bien como principios que constituyen </w:t>
      </w:r>
      <w:r w:rsidRPr="005C70E8">
        <w:rPr>
          <w:rFonts w:ascii="Palatino Linotype" w:eastAsia="Calibri" w:hAnsi="Palatino Linotype" w:cs="Arial"/>
          <w:i/>
          <w:color w:val="000000" w:themeColor="text1"/>
          <w:sz w:val="24"/>
          <w:szCs w:val="24"/>
          <w:lang w:val="es-ES" w:eastAsia="es-ES"/>
        </w:rPr>
        <w:t>mandatos de optimización</w:t>
      </w:r>
      <w:r w:rsidRPr="005C70E8">
        <w:rPr>
          <w:rFonts w:ascii="Palatino Linotype" w:eastAsia="Calibri" w:hAnsi="Palatino Linotype" w:cs="Arial"/>
          <w:color w:val="000000" w:themeColor="text1"/>
          <w:sz w:val="24"/>
          <w:szCs w:val="24"/>
          <w:lang w:val="es-ES" w:eastAsia="es-ES"/>
        </w:rPr>
        <w:t>,</w:t>
      </w:r>
      <w:r w:rsidRPr="005C70E8">
        <w:rPr>
          <w:rFonts w:eastAsia="Calibri"/>
          <w:sz w:val="24"/>
          <w:szCs w:val="24"/>
          <w:vertAlign w:val="superscript"/>
          <w:lang w:val="es-ES" w:eastAsia="es-ES"/>
        </w:rPr>
        <w:footnoteReference w:id="2"/>
      </w:r>
      <w:r w:rsidRPr="005C70E8">
        <w:rPr>
          <w:rFonts w:ascii="Palatino Linotype" w:eastAsia="Calibri" w:hAnsi="Palatino Linotype" w:cs="Arial"/>
          <w:color w:val="000000" w:themeColor="text1"/>
          <w:sz w:val="24"/>
          <w:szCs w:val="24"/>
          <w:lang w:val="es-ES" w:eastAsia="es-ES"/>
        </w:rPr>
        <w:t xml:space="preserve"> lo cierto es que son piedra cardinal en el Estado Constitucional de Derecho que estamos llamados a hacer prevalecer en nuestro país.</w:t>
      </w:r>
    </w:p>
    <w:p w:rsidR="00EC68E3" w:rsidRPr="005C70E8" w:rsidRDefault="00EC68E3" w:rsidP="001A103E">
      <w:pPr>
        <w:numPr>
          <w:ilvl w:val="0"/>
          <w:numId w:val="1"/>
        </w:numPr>
        <w:spacing w:before="240" w:after="0" w:line="360" w:lineRule="auto"/>
        <w:contextualSpacing/>
        <w:jc w:val="both"/>
        <w:rPr>
          <w:rFonts w:ascii="Palatino Linotype" w:hAnsi="Palatino Linotype" w:cs="Arial"/>
          <w:color w:val="000000" w:themeColor="text1"/>
          <w:sz w:val="24"/>
          <w:szCs w:val="24"/>
        </w:rPr>
      </w:pPr>
      <w:r w:rsidRPr="005C70E8">
        <w:rPr>
          <w:rFonts w:ascii="Palatino Linotype" w:eastAsia="Calibri" w:hAnsi="Palatino Linotype" w:cs="Arial"/>
          <w:color w:val="000000" w:themeColor="text1"/>
          <w:sz w:val="24"/>
          <w:szCs w:val="24"/>
          <w:lang w:val="es-ES" w:eastAsia="es-ES"/>
        </w:rPr>
        <w:t xml:space="preserve">En ese sentido es necesario referir la definición del Derecho de Acceso a la Información, siendo que es </w:t>
      </w:r>
      <w:r w:rsidRPr="005C70E8">
        <w:rPr>
          <w:rFonts w:ascii="Palatino Linotype" w:eastAsia="Times New Roman" w:hAnsi="Palatino Linotype" w:cs="Arial"/>
          <w:sz w:val="24"/>
          <w:szCs w:val="24"/>
          <w:lang w:eastAsia="es-MX"/>
        </w:rPr>
        <w:t xml:space="preserve">la </w:t>
      </w:r>
      <w:r w:rsidRPr="005C70E8">
        <w:rPr>
          <w:rFonts w:ascii="Palatino Linotype" w:eastAsia="MS Mincho" w:hAnsi="Palatino Linotype" w:cs="Times New Roman"/>
          <w:i/>
          <w:sz w:val="24"/>
          <w:szCs w:val="24"/>
        </w:rPr>
        <w:t>igualdad de oportunidades para recibir, buscar e impartir información</w:t>
      </w:r>
      <w:r w:rsidRPr="005C70E8">
        <w:rPr>
          <w:rStyle w:val="Refdenotaalpie"/>
          <w:rFonts w:ascii="Palatino Linotype" w:eastAsia="MS Mincho" w:hAnsi="Palatino Linotype" w:cs="Times New Roman"/>
          <w:i/>
          <w:sz w:val="24"/>
          <w:szCs w:val="24"/>
        </w:rPr>
        <w:footnoteReference w:id="3"/>
      </w:r>
      <w:r w:rsidRPr="005C70E8">
        <w:rPr>
          <w:rFonts w:ascii="Palatino Linotype" w:eastAsia="MS Mincho" w:hAnsi="Palatino Linotype" w:cs="Times New Roman"/>
          <w:i/>
          <w:sz w:val="24"/>
          <w:szCs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5C70E8">
        <w:rPr>
          <w:rFonts w:ascii="Palatino Linotype" w:eastAsia="MS Mincho" w:hAnsi="Palatino Linotype" w:cs="Times New Roman"/>
          <w:i/>
          <w:sz w:val="24"/>
          <w:szCs w:val="24"/>
        </w:rPr>
        <w:lastRenderedPageBreak/>
        <w:t>estatal y municipal</w:t>
      </w:r>
      <w:r w:rsidRPr="005C70E8">
        <w:rPr>
          <w:rStyle w:val="Refdenotaalpie"/>
          <w:rFonts w:ascii="Palatino Linotype" w:eastAsia="MS Mincho" w:hAnsi="Palatino Linotype" w:cs="Times New Roman"/>
          <w:sz w:val="24"/>
          <w:szCs w:val="24"/>
        </w:rPr>
        <w:footnoteReference w:id="4"/>
      </w:r>
      <w:r w:rsidRPr="005C70E8">
        <w:rPr>
          <w:rFonts w:ascii="Palatino Linotype" w:eastAsia="MS Mincho" w:hAnsi="Palatino Linotype" w:cs="Times New Roman"/>
          <w:i/>
          <w:sz w:val="24"/>
          <w:szCs w:val="24"/>
        </w:rPr>
        <w:t xml:space="preserve"> </w:t>
      </w:r>
      <w:r w:rsidRPr="005C70E8">
        <w:rPr>
          <w:rFonts w:ascii="Palatino Linotype" w:eastAsia="MS Mincho" w:hAnsi="Palatino Linotype" w:cs="Times New Roman"/>
          <w:sz w:val="24"/>
          <w:szCs w:val="24"/>
        </w:rPr>
        <w:t xml:space="preserve">que se constituye como una herramienta fundamental para </w:t>
      </w:r>
      <w:r w:rsidRPr="005C70E8">
        <w:rPr>
          <w:rFonts w:ascii="Palatino Linotype" w:eastAsia="MS Mincho" w:hAnsi="Palatino Linotype" w:cs="Times New Roman"/>
          <w:i/>
          <w:sz w:val="24"/>
          <w:szCs w:val="24"/>
        </w:rPr>
        <w:t>ejercer control democrático de las gestiones estatales</w:t>
      </w:r>
      <w:r w:rsidRPr="00891FBE">
        <w:rPr>
          <w:rFonts w:ascii="Palatino Linotype" w:eastAsia="MS Mincho" w:hAnsi="Palatino Linotype" w:cs="Times New Roman"/>
          <w:b/>
          <w:i/>
          <w:sz w:val="24"/>
          <w:szCs w:val="24"/>
        </w:rPr>
        <w:t>, de forma tal que puedan cuestionar, indagar y considerar si se está dando un adecuado cumplimiento de las funciones públicas</w:t>
      </w:r>
      <w:r w:rsidRPr="005C70E8">
        <w:rPr>
          <w:rFonts w:ascii="Palatino Linotype" w:eastAsia="MS Mincho" w:hAnsi="Palatino Linotype" w:cs="Times New Roman"/>
          <w:i/>
          <w:sz w:val="24"/>
          <w:szCs w:val="24"/>
        </w:rPr>
        <w:t>,</w:t>
      </w:r>
      <w:r w:rsidRPr="005C70E8">
        <w:rPr>
          <w:rStyle w:val="Refdenotaalpie"/>
          <w:rFonts w:ascii="Palatino Linotype" w:eastAsia="MS Mincho" w:hAnsi="Palatino Linotype" w:cs="Times New Roman"/>
          <w:i/>
          <w:sz w:val="24"/>
          <w:szCs w:val="24"/>
        </w:rPr>
        <w:footnoteReference w:id="5"/>
      </w:r>
      <w:r w:rsidRPr="005C70E8">
        <w:rPr>
          <w:rFonts w:ascii="Palatino Linotype" w:eastAsia="MS Mincho" w:hAnsi="Palatino Linotype" w:cs="Times New Roman"/>
          <w:sz w:val="24"/>
          <w:szCs w:val="24"/>
        </w:rPr>
        <w:t>fomentando</w:t>
      </w:r>
      <w:r w:rsidRPr="005C70E8">
        <w:rPr>
          <w:rFonts w:ascii="Palatino Linotype" w:eastAsia="MS Mincho" w:hAnsi="Palatino Linotype" w:cs="Times New Roman"/>
          <w:i/>
          <w:sz w:val="24"/>
          <w:szCs w:val="24"/>
        </w:rPr>
        <w:t xml:space="preserve"> la transparencia de las actividades estatales y</w:t>
      </w:r>
      <w:r w:rsidRPr="005C70E8">
        <w:rPr>
          <w:rFonts w:ascii="Palatino Linotype" w:eastAsia="MS Mincho" w:hAnsi="Palatino Linotype" w:cs="Times New Roman"/>
          <w:sz w:val="24"/>
          <w:szCs w:val="24"/>
        </w:rPr>
        <w:t xml:space="preserve"> promoviendo</w:t>
      </w:r>
      <w:r w:rsidRPr="005C70E8">
        <w:rPr>
          <w:rFonts w:ascii="Palatino Linotype" w:eastAsia="MS Mincho" w:hAnsi="Palatino Linotype" w:cs="Times New Roman"/>
          <w:i/>
          <w:sz w:val="24"/>
          <w:szCs w:val="24"/>
        </w:rPr>
        <w:t xml:space="preserve"> la responsabilidad de los funcionarios sobre su gestión pública </w:t>
      </w:r>
      <w:r w:rsidRPr="005C70E8">
        <w:rPr>
          <w:rFonts w:ascii="Palatino Linotype" w:eastAsia="MS Mincho" w:hAnsi="Palatino Linotype" w:cs="Times New Roman"/>
          <w:sz w:val="24"/>
          <w:szCs w:val="24"/>
        </w:rPr>
        <w:t>que permite</w:t>
      </w:r>
      <w:r w:rsidRPr="005C70E8">
        <w:rPr>
          <w:rFonts w:ascii="Palatino Linotype" w:eastAsia="MS Mincho" w:hAnsi="Palatino Linotype" w:cs="Times New Roman"/>
          <w:i/>
          <w:sz w:val="24"/>
          <w:szCs w:val="24"/>
        </w:rPr>
        <w:t xml:space="preserve"> saber qué están haciendo los gobiernos por sus pueblos, sin lo cual la verdad languidecería y la participación en el gobierno permanecería fragmentada.</w:t>
      </w:r>
      <w:r w:rsidRPr="005C70E8">
        <w:rPr>
          <w:rStyle w:val="Refdenotaalpie"/>
          <w:rFonts w:ascii="Palatino Linotype" w:eastAsia="MS Mincho" w:hAnsi="Palatino Linotype" w:cs="Times New Roman"/>
          <w:i/>
          <w:sz w:val="24"/>
          <w:szCs w:val="24"/>
        </w:rPr>
        <w:footnoteReference w:id="6"/>
      </w:r>
      <w:r w:rsidRPr="005C70E8">
        <w:rPr>
          <w:rFonts w:ascii="Palatino Linotype" w:eastAsia="MS Mincho" w:hAnsi="Palatino Linotype" w:cs="Times New Roman"/>
          <w:sz w:val="24"/>
          <w:szCs w:val="24"/>
        </w:rPr>
        <w:t xml:space="preserve"> ”.</w:t>
      </w:r>
    </w:p>
    <w:p w:rsidR="00EC68E3" w:rsidRPr="005C70E8" w:rsidRDefault="00EC68E3" w:rsidP="00EC68E3">
      <w:pPr>
        <w:spacing w:before="240" w:after="0" w:line="360" w:lineRule="auto"/>
        <w:contextualSpacing/>
        <w:jc w:val="both"/>
        <w:rPr>
          <w:rFonts w:ascii="Palatino Linotype" w:hAnsi="Palatino Linotype" w:cs="Arial"/>
          <w:color w:val="000000" w:themeColor="text1"/>
          <w:sz w:val="24"/>
          <w:szCs w:val="24"/>
        </w:rPr>
      </w:pPr>
    </w:p>
    <w:p w:rsidR="00EC68E3" w:rsidRPr="005C70E8" w:rsidRDefault="00EC68E3" w:rsidP="00F86858">
      <w:pPr>
        <w:keepNext/>
        <w:keepLines/>
        <w:numPr>
          <w:ilvl w:val="0"/>
          <w:numId w:val="12"/>
        </w:numPr>
        <w:spacing w:before="40" w:after="0"/>
        <w:ind w:left="426" w:hanging="426"/>
        <w:outlineLvl w:val="1"/>
        <w:rPr>
          <w:rFonts w:ascii="Palatino Linotype" w:eastAsiaTheme="majorEastAsia" w:hAnsi="Palatino Linotype" w:cs="Arial"/>
          <w:b/>
          <w:iCs/>
          <w:color w:val="000000" w:themeColor="text1"/>
          <w:sz w:val="24"/>
          <w:szCs w:val="24"/>
        </w:rPr>
      </w:pPr>
      <w:bookmarkStart w:id="6" w:name="_Toc522533871"/>
      <w:bookmarkStart w:id="7" w:name="_Toc522548934"/>
      <w:r w:rsidRPr="005C70E8">
        <w:rPr>
          <w:rFonts w:ascii="Palatino Linotype" w:eastAsiaTheme="majorEastAsia" w:hAnsi="Palatino Linotype" w:cs="Arial"/>
          <w:b/>
          <w:iCs/>
          <w:color w:val="000000" w:themeColor="text1"/>
          <w:sz w:val="24"/>
          <w:szCs w:val="24"/>
        </w:rPr>
        <w:t>Las garantías primarias del derecho de acceso a la información pública.</w:t>
      </w:r>
      <w:bookmarkEnd w:id="6"/>
      <w:bookmarkEnd w:id="7"/>
    </w:p>
    <w:p w:rsidR="00EC68E3" w:rsidRPr="005C70E8" w:rsidRDefault="00EC68E3" w:rsidP="00EC68E3">
      <w:pPr>
        <w:spacing w:before="240" w:after="0" w:line="360" w:lineRule="auto"/>
        <w:contextualSpacing/>
        <w:jc w:val="both"/>
        <w:rPr>
          <w:rFonts w:ascii="Palatino Linotype" w:hAnsi="Palatino Linotype" w:cs="Arial"/>
          <w:i/>
          <w:color w:val="000000" w:themeColor="text1"/>
          <w:sz w:val="24"/>
          <w:szCs w:val="24"/>
        </w:rPr>
      </w:pPr>
    </w:p>
    <w:p w:rsidR="00EC68E3" w:rsidRPr="005C70E8" w:rsidRDefault="00EC68E3" w:rsidP="00EC68E3">
      <w:pPr>
        <w:numPr>
          <w:ilvl w:val="0"/>
          <w:numId w:val="1"/>
        </w:numPr>
        <w:spacing w:before="240" w:after="0" w:line="360" w:lineRule="auto"/>
        <w:contextualSpacing/>
        <w:jc w:val="both"/>
        <w:rPr>
          <w:rFonts w:ascii="Palatino Linotype" w:hAnsi="Palatino Linotype" w:cs="Arial"/>
          <w:i/>
          <w:color w:val="000000" w:themeColor="text1"/>
          <w:sz w:val="24"/>
          <w:szCs w:val="24"/>
        </w:rPr>
      </w:pPr>
      <w:r w:rsidRPr="005C70E8">
        <w:rPr>
          <w:rFonts w:ascii="Palatino Linotype" w:hAnsi="Palatino Linotype" w:cs="Arial"/>
          <w:color w:val="000000" w:themeColor="text1"/>
          <w:sz w:val="24"/>
          <w:szCs w:val="24"/>
        </w:rPr>
        <w:t xml:space="preserve">Como lo establece la doctrina y lo señala nuestro texto fundamental, para que esos derechos no sean sólo proclamas políticas sino realmente efectivos se requiere de la existencia de garantías constitucionales que permitan su ejercicio o protección, las que pueden ser de carácter primario cuando consisten en </w:t>
      </w:r>
      <w:r w:rsidRPr="005C70E8">
        <w:rPr>
          <w:rFonts w:ascii="Palatino Linotype" w:hAnsi="Palatino Linotype" w:cs="Arial"/>
          <w:i/>
          <w:color w:val="000000" w:themeColor="text1"/>
          <w:sz w:val="24"/>
          <w:szCs w:val="24"/>
        </w:rPr>
        <w:t>las</w:t>
      </w:r>
      <w:r w:rsidRPr="005C70E8">
        <w:rPr>
          <w:rFonts w:ascii="Palatino Linotype" w:hAnsi="Palatino Linotype" w:cs="Arial"/>
          <w:color w:val="000000" w:themeColor="text1"/>
          <w:sz w:val="24"/>
          <w:szCs w:val="24"/>
        </w:rPr>
        <w:t xml:space="preserve"> </w:t>
      </w:r>
      <w:r w:rsidRPr="005C70E8">
        <w:rPr>
          <w:rFonts w:ascii="Palatino Linotype" w:hAnsi="Palatino Linotype" w:cs="Arial"/>
          <w:i/>
          <w:color w:val="000000" w:themeColor="text1"/>
          <w:sz w:val="24"/>
          <w:szCs w:val="24"/>
        </w:rPr>
        <w:t>obligaciones o prohibiciones inmediatamente correlativas a los derechos establecidos en las constituciones</w:t>
      </w:r>
      <w:r w:rsidRPr="005C70E8">
        <w:rPr>
          <w:rFonts w:ascii="Palatino Linotype" w:hAnsi="Palatino Linotype" w:cs="Arial"/>
          <w:i/>
          <w:color w:val="000000" w:themeColor="text1"/>
          <w:sz w:val="24"/>
          <w:szCs w:val="24"/>
          <w:vertAlign w:val="superscript"/>
        </w:rPr>
        <w:footnoteReference w:id="7"/>
      </w:r>
      <w:r w:rsidRPr="005C70E8">
        <w:rPr>
          <w:rFonts w:ascii="Palatino Linotype" w:hAnsi="Palatino Linotype" w:cs="Arial"/>
          <w:color w:val="000000" w:themeColor="text1"/>
          <w:sz w:val="24"/>
          <w:szCs w:val="24"/>
        </w:rPr>
        <w:t xml:space="preserve"> o bien </w:t>
      </w:r>
      <w:r w:rsidRPr="005C70E8">
        <w:rPr>
          <w:rFonts w:ascii="Palatino Linotype" w:hAnsi="Palatino Linotype" w:cs="Arial"/>
          <w:i/>
          <w:color w:val="000000" w:themeColor="text1"/>
          <w:sz w:val="24"/>
          <w:szCs w:val="24"/>
        </w:rPr>
        <w:t xml:space="preserve">como la suma de las garantías positivas y de las garantías </w:t>
      </w:r>
      <w:r w:rsidRPr="005C70E8">
        <w:rPr>
          <w:rFonts w:ascii="Palatino Linotype" w:hAnsi="Palatino Linotype" w:cs="Arial"/>
          <w:i/>
          <w:color w:val="000000" w:themeColor="text1"/>
          <w:sz w:val="24"/>
          <w:szCs w:val="24"/>
        </w:rPr>
        <w:lastRenderedPageBreak/>
        <w:t>negativas,</w:t>
      </w:r>
      <w:r w:rsidRPr="005C70E8">
        <w:rPr>
          <w:rFonts w:ascii="Palatino Linotype" w:hAnsi="Palatino Linotype" w:cs="Arial"/>
          <w:i/>
          <w:color w:val="000000" w:themeColor="text1"/>
          <w:sz w:val="24"/>
          <w:szCs w:val="24"/>
          <w:vertAlign w:val="superscript"/>
        </w:rPr>
        <w:footnoteReference w:id="8"/>
      </w:r>
      <w:r w:rsidRPr="005C70E8">
        <w:rPr>
          <w:rFonts w:ascii="Palatino Linotype" w:hAnsi="Palatino Linotype" w:cs="Arial"/>
          <w:color w:val="000000" w:themeColor="text1"/>
          <w:sz w:val="24"/>
          <w:szCs w:val="24"/>
        </w:rPr>
        <w:t xml:space="preserve"> lo que en materia de acceso a la información pública se aprecia en dos obligaciones impuestas al poder público consistentes en difundir, de oficio, un conjunto de información común para todos los Sujetos Obligados y específica de acuerdo con las funciones de cada uno de ellos; en segundo término, lo que el legislador ordinario en el estado de México estableció textualmente en el artículo 150 de la reciente ley de la materia al señalar que </w:t>
      </w:r>
      <w:r w:rsidRPr="005C70E8">
        <w:rPr>
          <w:rFonts w:ascii="Palatino Linotype" w:hAnsi="Palatino Linotype" w:cs="Arial"/>
          <w:i/>
          <w:color w:val="000000" w:themeColor="text1"/>
          <w:sz w:val="24"/>
          <w:szCs w:val="24"/>
        </w:rPr>
        <w:t xml:space="preserve">el procedimiento de acceso a la información pública es la garantía del derecho en cuestión. </w:t>
      </w:r>
    </w:p>
    <w:p w:rsidR="0017113B" w:rsidRPr="005C70E8" w:rsidRDefault="0017113B" w:rsidP="0017113B">
      <w:pPr>
        <w:spacing w:before="240" w:after="0" w:line="360" w:lineRule="auto"/>
        <w:ind w:left="360"/>
        <w:contextualSpacing/>
        <w:jc w:val="both"/>
        <w:rPr>
          <w:rFonts w:ascii="Palatino Linotype" w:hAnsi="Palatino Linotype" w:cs="Arial"/>
          <w:i/>
          <w:color w:val="000000" w:themeColor="text1"/>
          <w:sz w:val="24"/>
          <w:szCs w:val="24"/>
        </w:rPr>
      </w:pPr>
    </w:p>
    <w:p w:rsidR="00EC68E3" w:rsidRPr="005C70E8"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 Por lo tanto, cuando </w:t>
      </w:r>
      <w:r w:rsidRPr="005C70E8">
        <w:rPr>
          <w:rFonts w:ascii="Palatino Linotype" w:hAnsi="Palatino Linotype" w:cs="Arial"/>
          <w:b/>
          <w:color w:val="000000" w:themeColor="text1"/>
          <w:sz w:val="24"/>
          <w:szCs w:val="24"/>
        </w:rPr>
        <w:t>el particular</w:t>
      </w:r>
      <w:r w:rsidRPr="005C70E8">
        <w:rPr>
          <w:rFonts w:ascii="Palatino Linotype" w:hAnsi="Palatino Linotype" w:cs="Arial"/>
          <w:color w:val="000000" w:themeColor="text1"/>
          <w:sz w:val="24"/>
          <w:szCs w:val="24"/>
        </w:rPr>
        <w:t xml:space="preserve">, presentó la solicitud de acceso a la información pública ante el </w:t>
      </w:r>
      <w:r w:rsidR="00D303EA" w:rsidRPr="00D303EA">
        <w:rPr>
          <w:rFonts w:ascii="Palatino Linotype" w:hAnsi="Palatino Linotype" w:cs="Arial"/>
          <w:b/>
          <w:color w:val="000000" w:themeColor="text1"/>
          <w:sz w:val="24"/>
          <w:szCs w:val="24"/>
        </w:rPr>
        <w:t>SUJETO OBLIGADO</w:t>
      </w:r>
      <w:r w:rsidRPr="005C70E8">
        <w:rPr>
          <w:rFonts w:ascii="Palatino Linotype" w:hAnsi="Palatino Linotype" w:cs="Arial"/>
          <w:color w:val="000000" w:themeColor="text1"/>
          <w:sz w:val="24"/>
          <w:szCs w:val="24"/>
        </w:rPr>
        <w:t>, ejerció el derecho en cuestión a través de su garantía primaria depositada en la autoridad quien, por mandato categórico del tercer párrafo del artículo primero de la Constitución Federal</w:t>
      </w:r>
      <w:r w:rsidRPr="005C70E8">
        <w:rPr>
          <w:rFonts w:ascii="Palatino Linotype" w:eastAsia="Calibri" w:hAnsi="Palatino Linotype" w:cs="Arial"/>
          <w:color w:val="000000" w:themeColor="text1"/>
          <w:sz w:val="24"/>
          <w:szCs w:val="24"/>
          <w:lang w:val="es-ES" w:eastAsia="es-ES"/>
        </w:rPr>
        <w:t xml:space="preserve">, se encuentra obligado, como todas las demás autoridades, en el ámbito de su competencia, a </w:t>
      </w:r>
      <w:r w:rsidRPr="005C70E8">
        <w:rPr>
          <w:rFonts w:ascii="Palatino Linotype" w:eastAsia="Calibri" w:hAnsi="Palatino Linotype" w:cs="Arial"/>
          <w:b/>
          <w:color w:val="000000" w:themeColor="text1"/>
          <w:sz w:val="24"/>
          <w:szCs w:val="24"/>
          <w:lang w:val="es-ES" w:eastAsia="es-ES"/>
        </w:rPr>
        <w:t>“promover, respetar, proteger y garantizar los derechos humanos</w:t>
      </w:r>
      <w:r w:rsidRPr="005C70E8">
        <w:rPr>
          <w:rFonts w:ascii="Palatino Linotype" w:eastAsia="Calibri" w:hAnsi="Palatino Linotype" w:cs="Arial"/>
          <w:color w:val="000000" w:themeColor="text1"/>
          <w:sz w:val="24"/>
          <w:szCs w:val="24"/>
          <w:lang w:val="es-ES" w:eastAsia="es-ES"/>
        </w:rPr>
        <w:t>”, entre los cuales se encuentra el de acceso a la información.</w:t>
      </w:r>
    </w:p>
    <w:p w:rsidR="00EC68E3" w:rsidRPr="005C70E8" w:rsidRDefault="00EC68E3" w:rsidP="00EC68E3">
      <w:pPr>
        <w:spacing w:line="360" w:lineRule="auto"/>
        <w:ind w:left="720"/>
        <w:contextualSpacing/>
        <w:rPr>
          <w:rFonts w:ascii="Palatino Linotype" w:hAnsi="Palatino Linotype" w:cs="Arial"/>
          <w:color w:val="000000" w:themeColor="text1"/>
          <w:sz w:val="24"/>
          <w:szCs w:val="24"/>
        </w:rPr>
      </w:pPr>
    </w:p>
    <w:p w:rsidR="004C5D96" w:rsidRDefault="00EC68E3" w:rsidP="004C5D96">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La garantía primaria, en la que se constituye la solicitud de acceso a la información pública, impone a la autoridad la obligación de atender la solici</w:t>
      </w:r>
      <w:r w:rsidR="009E7614">
        <w:rPr>
          <w:rFonts w:ascii="Palatino Linotype" w:hAnsi="Palatino Linotype" w:cs="Arial"/>
          <w:color w:val="000000" w:themeColor="text1"/>
          <w:sz w:val="24"/>
          <w:szCs w:val="24"/>
        </w:rPr>
        <w:t>tud en los términos requeridos</w:t>
      </w:r>
      <w:r w:rsidRPr="005C70E8">
        <w:rPr>
          <w:rFonts w:ascii="Palatino Linotype" w:hAnsi="Palatino Linotype" w:cs="Arial"/>
          <w:color w:val="000000" w:themeColor="text1"/>
          <w:sz w:val="24"/>
          <w:szCs w:val="24"/>
        </w:rPr>
        <w:t>, sin embargo, en el caso que se resuelve,</w:t>
      </w:r>
      <w:r w:rsidR="0075371C">
        <w:rPr>
          <w:rFonts w:ascii="Palatino Linotype" w:hAnsi="Palatino Linotype" w:cs="Arial"/>
          <w:color w:val="000000" w:themeColor="text1"/>
          <w:sz w:val="24"/>
          <w:szCs w:val="24"/>
        </w:rPr>
        <w:t xml:space="preserve"> </w:t>
      </w:r>
      <w:r w:rsidR="009E7614">
        <w:rPr>
          <w:rFonts w:ascii="Palatino Linotype" w:hAnsi="Palatino Linotype" w:cs="Arial"/>
          <w:color w:val="000000" w:themeColor="text1"/>
          <w:sz w:val="24"/>
          <w:szCs w:val="24"/>
        </w:rPr>
        <w:t>ordenar la clasificación</w:t>
      </w:r>
      <w:r w:rsidR="0075371C">
        <w:rPr>
          <w:rFonts w:ascii="Palatino Linotype" w:hAnsi="Palatino Linotype" w:cs="Arial"/>
          <w:color w:val="000000" w:themeColor="text1"/>
          <w:sz w:val="24"/>
          <w:szCs w:val="24"/>
        </w:rPr>
        <w:t xml:space="preserve"> </w:t>
      </w:r>
      <w:r w:rsidR="009E7614">
        <w:rPr>
          <w:rFonts w:ascii="Palatino Linotype" w:hAnsi="Palatino Linotype" w:cs="Arial"/>
          <w:color w:val="000000" w:themeColor="text1"/>
          <w:sz w:val="24"/>
          <w:szCs w:val="24"/>
        </w:rPr>
        <w:t>d</w:t>
      </w:r>
      <w:r w:rsidR="0075371C">
        <w:rPr>
          <w:rFonts w:ascii="Palatino Linotype" w:hAnsi="Palatino Linotype" w:cs="Arial"/>
          <w:color w:val="000000" w:themeColor="text1"/>
          <w:sz w:val="24"/>
          <w:szCs w:val="24"/>
        </w:rPr>
        <w:t xml:space="preserve">el nombre del </w:t>
      </w:r>
      <w:r w:rsidR="00D303EA">
        <w:rPr>
          <w:rFonts w:ascii="Palatino Linotype" w:hAnsi="Palatino Linotype" w:cs="Arial"/>
          <w:color w:val="000000" w:themeColor="text1"/>
          <w:sz w:val="24"/>
          <w:szCs w:val="24"/>
        </w:rPr>
        <w:t>a</w:t>
      </w:r>
      <w:r w:rsidR="0075371C">
        <w:rPr>
          <w:rFonts w:ascii="Palatino Linotype" w:hAnsi="Palatino Linotype" w:cs="Arial"/>
          <w:color w:val="000000" w:themeColor="text1"/>
          <w:sz w:val="24"/>
          <w:szCs w:val="24"/>
        </w:rPr>
        <w:t xml:space="preserve">rquitecto </w:t>
      </w:r>
      <w:r w:rsidR="009E7614">
        <w:rPr>
          <w:rFonts w:ascii="Palatino Linotype" w:hAnsi="Palatino Linotype" w:cs="Arial"/>
          <w:color w:val="000000" w:themeColor="text1"/>
          <w:sz w:val="24"/>
          <w:szCs w:val="24"/>
        </w:rPr>
        <w:t>que se encuentra a cargo de la</w:t>
      </w:r>
      <w:r w:rsidR="00891FBE">
        <w:rPr>
          <w:rFonts w:ascii="Palatino Linotype" w:hAnsi="Palatino Linotype" w:cs="Arial"/>
          <w:color w:val="000000" w:themeColor="text1"/>
          <w:sz w:val="24"/>
          <w:szCs w:val="24"/>
        </w:rPr>
        <w:t xml:space="preserve"> obra</w:t>
      </w:r>
      <w:r w:rsidR="009E7614">
        <w:rPr>
          <w:rFonts w:ascii="Palatino Linotype" w:hAnsi="Palatino Linotype" w:cs="Arial"/>
          <w:color w:val="000000" w:themeColor="text1"/>
          <w:sz w:val="24"/>
          <w:szCs w:val="24"/>
        </w:rPr>
        <w:t xml:space="preserve"> mencionada en la solicitud</w:t>
      </w:r>
      <w:r w:rsidR="00891FBE">
        <w:rPr>
          <w:rFonts w:ascii="Palatino Linotype" w:hAnsi="Palatino Linotype" w:cs="Arial"/>
          <w:color w:val="000000" w:themeColor="text1"/>
          <w:sz w:val="24"/>
          <w:szCs w:val="24"/>
        </w:rPr>
        <w:t xml:space="preserve"> no permite la rendición de cuentas, además, de que</w:t>
      </w:r>
      <w:r w:rsidR="00876493">
        <w:rPr>
          <w:rFonts w:ascii="Palatino Linotype" w:hAnsi="Palatino Linotype" w:cs="Arial"/>
          <w:color w:val="000000" w:themeColor="text1"/>
          <w:sz w:val="24"/>
          <w:szCs w:val="24"/>
        </w:rPr>
        <w:t xml:space="preserve"> </w:t>
      </w:r>
      <w:r w:rsidR="00876493">
        <w:rPr>
          <w:rFonts w:ascii="Palatino Linotype" w:hAnsi="Palatino Linotype" w:cs="Arial"/>
          <w:color w:val="000000" w:themeColor="text1"/>
          <w:sz w:val="24"/>
          <w:szCs w:val="24"/>
        </w:rPr>
        <w:lastRenderedPageBreak/>
        <w:t>conocer el nombre de</w:t>
      </w:r>
      <w:r w:rsidR="0075371C">
        <w:rPr>
          <w:rFonts w:ascii="Palatino Linotype" w:hAnsi="Palatino Linotype" w:cs="Arial"/>
          <w:color w:val="000000" w:themeColor="text1"/>
          <w:sz w:val="24"/>
          <w:szCs w:val="24"/>
        </w:rPr>
        <w:t xml:space="preserve"> dicha persona</w:t>
      </w:r>
      <w:r w:rsidR="00876493">
        <w:rPr>
          <w:rFonts w:ascii="Palatino Linotype" w:hAnsi="Palatino Linotype" w:cs="Arial"/>
          <w:color w:val="000000" w:themeColor="text1"/>
          <w:sz w:val="24"/>
          <w:szCs w:val="24"/>
        </w:rPr>
        <w:t xml:space="preserve"> </w:t>
      </w:r>
      <w:r w:rsidR="00891FBE">
        <w:rPr>
          <w:rFonts w:ascii="Palatino Linotype" w:hAnsi="Palatino Linotype" w:cs="Arial"/>
          <w:color w:val="000000" w:themeColor="text1"/>
          <w:sz w:val="24"/>
          <w:szCs w:val="24"/>
        </w:rPr>
        <w:t>se puede considerar u</w:t>
      </w:r>
      <w:r w:rsidR="00D303EA">
        <w:rPr>
          <w:rFonts w:ascii="Palatino Linotype" w:hAnsi="Palatino Linotype" w:cs="Arial"/>
          <w:color w:val="000000" w:themeColor="text1"/>
          <w:sz w:val="24"/>
          <w:szCs w:val="24"/>
        </w:rPr>
        <w:t>na cuestión de interés público,</w:t>
      </w:r>
      <w:r w:rsidR="00891FBE">
        <w:rPr>
          <w:rFonts w:ascii="Palatino Linotype" w:hAnsi="Palatino Linotype" w:cs="Arial"/>
          <w:color w:val="000000" w:themeColor="text1"/>
          <w:sz w:val="24"/>
          <w:szCs w:val="24"/>
        </w:rPr>
        <w:t xml:space="preserve"> de conformidad </w:t>
      </w:r>
      <w:r w:rsidR="00891FBE" w:rsidRPr="004C5D96">
        <w:rPr>
          <w:rFonts w:ascii="Palatino Linotype" w:hAnsi="Palatino Linotype" w:cs="Arial"/>
          <w:color w:val="000000" w:themeColor="text1"/>
          <w:sz w:val="24"/>
          <w:szCs w:val="24"/>
        </w:rPr>
        <w:t xml:space="preserve">con </w:t>
      </w:r>
      <w:r w:rsidR="004C5D96">
        <w:rPr>
          <w:rFonts w:ascii="Palatino Linotype" w:hAnsi="Palatino Linotype" w:cs="Arial"/>
          <w:color w:val="000000" w:themeColor="text1"/>
          <w:sz w:val="24"/>
          <w:szCs w:val="24"/>
        </w:rPr>
        <w:t>el siguiente criterio emitido por el INAI.</w:t>
      </w:r>
    </w:p>
    <w:p w:rsidR="004C5D96" w:rsidRDefault="004C5D96" w:rsidP="004C5D96">
      <w:pPr>
        <w:pStyle w:val="Prrafodelista"/>
        <w:rPr>
          <w:rFonts w:ascii="Palatino Linotype" w:hAnsi="Palatino Linotype" w:cs="Arial"/>
          <w:color w:val="000000" w:themeColor="text1"/>
          <w:sz w:val="24"/>
          <w:szCs w:val="24"/>
        </w:rPr>
      </w:pPr>
    </w:p>
    <w:p w:rsidR="004C5D96" w:rsidRPr="00D303EA" w:rsidRDefault="004C5D96" w:rsidP="00BF7E94">
      <w:pPr>
        <w:spacing w:after="0" w:line="360" w:lineRule="auto"/>
        <w:ind w:left="709" w:right="474"/>
        <w:contextualSpacing/>
        <w:jc w:val="both"/>
        <w:rPr>
          <w:rFonts w:ascii="Palatino Linotype" w:hAnsi="Palatino Linotype" w:cs="Arial"/>
          <w:i/>
          <w:color w:val="000000" w:themeColor="text1"/>
          <w:szCs w:val="24"/>
        </w:rPr>
      </w:pPr>
      <w:r w:rsidRPr="00D303EA">
        <w:rPr>
          <w:rFonts w:ascii="Palatino Linotype" w:hAnsi="Palatino Linotype" w:cs="Arial"/>
          <w:b/>
          <w:i/>
          <w:color w:val="000000" w:themeColor="text1"/>
          <w:szCs w:val="24"/>
        </w:rPr>
        <w:t>Régimen de subcontratación por sujetos obligados. Publicidad del nombre de los trabajadores contratados a través de.</w:t>
      </w:r>
      <w:r w:rsidRPr="00D303EA">
        <w:rPr>
          <w:rFonts w:ascii="Palatino Linotype" w:hAnsi="Palatino Linotype" w:cs="Arial"/>
          <w:i/>
          <w:color w:val="000000" w:themeColor="text1"/>
          <w:szCs w:val="24"/>
        </w:rPr>
        <w:t xml:space="preserve"> </w:t>
      </w:r>
      <w:r w:rsidR="00D303EA">
        <w:rPr>
          <w:rFonts w:ascii="Palatino Linotype" w:hAnsi="Palatino Linotype" w:cs="Arial"/>
          <w:i/>
          <w:color w:val="000000" w:themeColor="text1"/>
          <w:szCs w:val="24"/>
        </w:rPr>
        <w:t>“</w:t>
      </w:r>
      <w:r w:rsidRPr="00D303EA">
        <w:rPr>
          <w:rFonts w:ascii="Palatino Linotype" w:hAnsi="Palatino Linotype" w:cs="Arial"/>
          <w:i/>
          <w:color w:val="000000" w:themeColor="text1"/>
          <w:szCs w:val="24"/>
        </w:rPr>
        <w:t xml:space="preserve">Los nombres de las personas físicas contratadas con recursos públicos, a través de una empresa de </w:t>
      </w:r>
      <w:proofErr w:type="spellStart"/>
      <w:r w:rsidRPr="00D303EA">
        <w:rPr>
          <w:rFonts w:ascii="Palatino Linotype" w:hAnsi="Palatino Linotype" w:cs="Arial"/>
          <w:i/>
          <w:color w:val="000000" w:themeColor="text1"/>
          <w:szCs w:val="24"/>
        </w:rPr>
        <w:t>outsourcing</w:t>
      </w:r>
      <w:proofErr w:type="spellEnd"/>
      <w:r w:rsidRPr="00D303EA">
        <w:rPr>
          <w:rFonts w:ascii="Palatino Linotype" w:hAnsi="Palatino Linotype" w:cs="Arial"/>
          <w:i/>
          <w:color w:val="000000" w:themeColor="text1"/>
          <w:szCs w:val="24"/>
        </w:rPr>
        <w:t xml:space="preserve">, aun cuando no se trate de servidores públicos, reviste la naturaleza de información pública; lo anterior, siempre y cuando realicen actividades operativas y administrativas necesarias para el cumplimiento de su objeto, y que éstas se encuentren directamente relacionadas con las funciones propias que tienen los servidores públicos adscritos al mismo sujeto obligado. </w:t>
      </w:r>
      <w:r w:rsidR="00D303EA">
        <w:rPr>
          <w:rFonts w:ascii="Palatino Linotype" w:hAnsi="Palatino Linotype" w:cs="Arial"/>
          <w:i/>
          <w:color w:val="000000" w:themeColor="text1"/>
          <w:szCs w:val="24"/>
        </w:rPr>
        <w:t>“</w:t>
      </w:r>
    </w:p>
    <w:p w:rsidR="004C5D96" w:rsidRPr="00D303EA" w:rsidRDefault="004C5D96" w:rsidP="00BF7E94">
      <w:pPr>
        <w:spacing w:after="0" w:line="360" w:lineRule="auto"/>
        <w:ind w:left="709" w:right="474"/>
        <w:contextualSpacing/>
        <w:jc w:val="both"/>
        <w:rPr>
          <w:rFonts w:ascii="Palatino Linotype" w:hAnsi="Palatino Linotype" w:cs="Arial"/>
          <w:i/>
          <w:color w:val="000000" w:themeColor="text1"/>
          <w:szCs w:val="24"/>
        </w:rPr>
      </w:pPr>
      <w:r w:rsidRPr="00D303EA">
        <w:rPr>
          <w:rFonts w:ascii="Palatino Linotype" w:hAnsi="Palatino Linotype" w:cs="Arial"/>
          <w:i/>
          <w:color w:val="000000" w:themeColor="text1"/>
          <w:szCs w:val="24"/>
        </w:rPr>
        <w:t xml:space="preserve">Resoluciones: </w:t>
      </w:r>
    </w:p>
    <w:p w:rsidR="004C5D96" w:rsidRPr="00D303EA" w:rsidRDefault="004C5D96" w:rsidP="00BF7E94">
      <w:pPr>
        <w:spacing w:after="0" w:line="360" w:lineRule="auto"/>
        <w:ind w:left="709" w:right="474"/>
        <w:contextualSpacing/>
        <w:jc w:val="both"/>
        <w:rPr>
          <w:rFonts w:ascii="Palatino Linotype" w:hAnsi="Palatino Linotype" w:cs="Arial"/>
          <w:i/>
          <w:color w:val="000000" w:themeColor="text1"/>
          <w:szCs w:val="24"/>
        </w:rPr>
      </w:pPr>
      <w:r w:rsidRPr="00D303EA">
        <w:rPr>
          <w:rFonts w:ascii="Palatino Linotype" w:hAnsi="Palatino Linotype" w:cs="Arial"/>
          <w:i/>
          <w:color w:val="000000" w:themeColor="text1"/>
          <w:szCs w:val="24"/>
        </w:rPr>
        <w:sym w:font="Symbol" w:char="F0B7"/>
      </w:r>
      <w:r w:rsidRPr="00D303EA">
        <w:rPr>
          <w:rFonts w:ascii="Palatino Linotype" w:hAnsi="Palatino Linotype" w:cs="Arial"/>
          <w:i/>
          <w:color w:val="000000" w:themeColor="text1"/>
          <w:szCs w:val="24"/>
        </w:rPr>
        <w:t xml:space="preserve"> RRA 0616/16. Notimex, Agencia de Noticias del Estado Mexicano. 07 de septiembre de 2016. Por mayoría de seis votos a favor y uno en contra de la Comisionada María Patricia </w:t>
      </w:r>
      <w:proofErr w:type="spellStart"/>
      <w:r w:rsidRPr="00D303EA">
        <w:rPr>
          <w:rFonts w:ascii="Palatino Linotype" w:hAnsi="Palatino Linotype" w:cs="Arial"/>
          <w:i/>
          <w:color w:val="000000" w:themeColor="text1"/>
          <w:szCs w:val="24"/>
        </w:rPr>
        <w:t>Kurczyn</w:t>
      </w:r>
      <w:proofErr w:type="spellEnd"/>
      <w:r w:rsidRPr="00D303EA">
        <w:rPr>
          <w:rFonts w:ascii="Palatino Linotype" w:hAnsi="Palatino Linotype" w:cs="Arial"/>
          <w:i/>
          <w:color w:val="000000" w:themeColor="text1"/>
          <w:szCs w:val="24"/>
        </w:rPr>
        <w:t xml:space="preserve"> Villalobos. Comisionado Ponente Joel Salas Suárez. </w:t>
      </w:r>
    </w:p>
    <w:p w:rsidR="004C5D96" w:rsidRPr="00D303EA" w:rsidRDefault="004C5D96" w:rsidP="00BF7E94">
      <w:pPr>
        <w:spacing w:after="0" w:line="360" w:lineRule="auto"/>
        <w:ind w:left="709" w:right="474"/>
        <w:contextualSpacing/>
        <w:jc w:val="both"/>
        <w:rPr>
          <w:rFonts w:ascii="Palatino Linotype" w:hAnsi="Palatino Linotype" w:cs="Arial"/>
          <w:i/>
          <w:color w:val="000000" w:themeColor="text1"/>
          <w:szCs w:val="24"/>
        </w:rPr>
      </w:pPr>
      <w:r w:rsidRPr="00D303EA">
        <w:rPr>
          <w:rFonts w:ascii="Palatino Linotype" w:hAnsi="Palatino Linotype" w:cs="Arial"/>
          <w:i/>
          <w:color w:val="000000" w:themeColor="text1"/>
          <w:szCs w:val="24"/>
        </w:rPr>
        <w:sym w:font="Symbol" w:char="F0B7"/>
      </w:r>
      <w:r w:rsidRPr="00D303EA">
        <w:rPr>
          <w:rFonts w:ascii="Palatino Linotype" w:hAnsi="Palatino Linotype" w:cs="Arial"/>
          <w:i/>
          <w:color w:val="000000" w:themeColor="text1"/>
          <w:szCs w:val="24"/>
        </w:rPr>
        <w:t xml:space="preserve"> RRA 2990/16. Secretaría de Economía. 07 de noviembre de 2016. Por unanimidad. Comisionado Ponente Francisco Javier Acuña Llamas. </w:t>
      </w:r>
    </w:p>
    <w:p w:rsidR="004C5D96" w:rsidRPr="00D303EA" w:rsidRDefault="004C5D96" w:rsidP="00BF7E94">
      <w:pPr>
        <w:spacing w:after="0" w:line="360" w:lineRule="auto"/>
        <w:ind w:left="709" w:right="474"/>
        <w:contextualSpacing/>
        <w:jc w:val="both"/>
        <w:rPr>
          <w:rFonts w:ascii="Palatino Linotype" w:hAnsi="Palatino Linotype" w:cs="Arial"/>
          <w:i/>
          <w:color w:val="000000" w:themeColor="text1"/>
          <w:szCs w:val="24"/>
        </w:rPr>
      </w:pPr>
      <w:r w:rsidRPr="00D303EA">
        <w:rPr>
          <w:rFonts w:ascii="Palatino Linotype" w:hAnsi="Palatino Linotype" w:cs="Arial"/>
          <w:i/>
          <w:color w:val="000000" w:themeColor="text1"/>
          <w:szCs w:val="24"/>
        </w:rPr>
        <w:sym w:font="Symbol" w:char="F0B7"/>
      </w:r>
      <w:r w:rsidRPr="00D303EA">
        <w:rPr>
          <w:rFonts w:ascii="Palatino Linotype" w:hAnsi="Palatino Linotype" w:cs="Arial"/>
          <w:i/>
          <w:color w:val="000000" w:themeColor="text1"/>
          <w:szCs w:val="24"/>
        </w:rPr>
        <w:t xml:space="preserve"> RRA 3700/16. Financiera Nacional de Desarrollo Agropecuario, Rural, Forestal y Pesquero. 01 de febrero de 2017. Por mayoría de seis votos a favor y uno en contra de la Comisionada Ponente María Patricia </w:t>
      </w:r>
      <w:proofErr w:type="spellStart"/>
      <w:r w:rsidRPr="00D303EA">
        <w:rPr>
          <w:rFonts w:ascii="Palatino Linotype" w:hAnsi="Palatino Linotype" w:cs="Arial"/>
          <w:i/>
          <w:color w:val="000000" w:themeColor="text1"/>
          <w:szCs w:val="24"/>
        </w:rPr>
        <w:t>Kurczyn</w:t>
      </w:r>
      <w:proofErr w:type="spellEnd"/>
      <w:r w:rsidRPr="00D303EA">
        <w:rPr>
          <w:rFonts w:ascii="Palatino Linotype" w:hAnsi="Palatino Linotype" w:cs="Arial"/>
          <w:i/>
          <w:color w:val="000000" w:themeColor="text1"/>
          <w:szCs w:val="24"/>
        </w:rPr>
        <w:t xml:space="preserve"> Villalobos.</w:t>
      </w:r>
    </w:p>
    <w:p w:rsidR="00876493" w:rsidRPr="00876493" w:rsidRDefault="00876493" w:rsidP="00284C42">
      <w:pPr>
        <w:spacing w:after="0" w:line="360" w:lineRule="auto"/>
        <w:contextualSpacing/>
        <w:jc w:val="both"/>
        <w:rPr>
          <w:rFonts w:ascii="Palatino Linotype" w:hAnsi="Palatino Linotype" w:cs="Arial"/>
          <w:color w:val="000000" w:themeColor="text1"/>
          <w:sz w:val="24"/>
          <w:szCs w:val="24"/>
        </w:rPr>
      </w:pPr>
    </w:p>
    <w:p w:rsidR="0083279F" w:rsidRPr="00BF7E94" w:rsidRDefault="0083279F" w:rsidP="00AB0AA0">
      <w:pPr>
        <w:numPr>
          <w:ilvl w:val="0"/>
          <w:numId w:val="1"/>
        </w:numPr>
        <w:spacing w:after="0" w:line="360" w:lineRule="auto"/>
        <w:ind w:left="426" w:hanging="426"/>
        <w:contextualSpacing/>
        <w:jc w:val="both"/>
        <w:rPr>
          <w:rFonts w:ascii="Palatino Linotype" w:hAnsi="Palatino Linotype" w:cs="Arial"/>
          <w:sz w:val="24"/>
          <w:szCs w:val="24"/>
        </w:rPr>
      </w:pPr>
      <w:r w:rsidRPr="0083279F">
        <w:rPr>
          <w:rFonts w:ascii="Palatino Linotype" w:hAnsi="Palatino Linotype" w:cs="Arial"/>
          <w:sz w:val="24"/>
          <w:szCs w:val="24"/>
        </w:rPr>
        <w:t xml:space="preserve">En virtud de ello, </w:t>
      </w:r>
      <w:r w:rsidRPr="00AB0AA0">
        <w:rPr>
          <w:rFonts w:ascii="Palatino Linotype" w:hAnsi="Palatino Linotype" w:cs="Arial"/>
          <w:sz w:val="24"/>
          <w:szCs w:val="24"/>
        </w:rPr>
        <w:t xml:space="preserve">el nombre de las personas que sean contratadas con recursos públicos, </w:t>
      </w:r>
      <w:r w:rsidRPr="00D303EA">
        <w:rPr>
          <w:rFonts w:ascii="Palatino Linotype" w:hAnsi="Palatino Linotype" w:cs="Arial"/>
          <w:b/>
          <w:sz w:val="24"/>
          <w:szCs w:val="24"/>
        </w:rPr>
        <w:t>es de interés público</w:t>
      </w:r>
      <w:r w:rsidRPr="00AB0AA0">
        <w:rPr>
          <w:rFonts w:ascii="Palatino Linotype" w:hAnsi="Palatino Linotype" w:cs="Arial"/>
          <w:sz w:val="24"/>
          <w:szCs w:val="24"/>
        </w:rPr>
        <w:t xml:space="preserve"> pues permite la rendición de cuentas y propicia la participación de la sociedad</w:t>
      </w:r>
      <w:r w:rsidR="009E7614">
        <w:rPr>
          <w:rFonts w:ascii="Palatino Linotype" w:hAnsi="Palatino Linotype" w:cs="Arial"/>
          <w:sz w:val="24"/>
          <w:szCs w:val="24"/>
        </w:rPr>
        <w:t xml:space="preserve"> en los asuntos públicos</w:t>
      </w:r>
      <w:r w:rsidR="00D303EA">
        <w:rPr>
          <w:rFonts w:ascii="Palatino Linotype" w:hAnsi="Palatino Linotype" w:cs="Arial"/>
          <w:sz w:val="24"/>
          <w:szCs w:val="24"/>
        </w:rPr>
        <w:t xml:space="preserve">. </w:t>
      </w:r>
      <w:r w:rsidRPr="0083279F">
        <w:rPr>
          <w:rFonts w:ascii="Palatino Linotype" w:eastAsia="Times New Roman" w:hAnsi="Palatino Linotype" w:cs="Times New Roman"/>
          <w:sz w:val="24"/>
          <w:szCs w:val="24"/>
          <w:lang w:eastAsia="es-MX"/>
        </w:rPr>
        <w:t xml:space="preserve">Por ende y recordando </w:t>
      </w:r>
      <w:r w:rsidRPr="0083279F">
        <w:rPr>
          <w:rFonts w:ascii="Palatino Linotype" w:eastAsia="Times New Roman" w:hAnsi="Palatino Linotype" w:cs="Times New Roman"/>
          <w:sz w:val="24"/>
          <w:szCs w:val="24"/>
          <w:lang w:eastAsia="es-MX"/>
        </w:rPr>
        <w:lastRenderedPageBreak/>
        <w:t>q</w:t>
      </w:r>
      <w:r w:rsidR="009E7614">
        <w:rPr>
          <w:rFonts w:ascii="Palatino Linotype" w:eastAsia="Times New Roman" w:hAnsi="Palatino Linotype" w:cs="Times New Roman"/>
          <w:sz w:val="24"/>
          <w:szCs w:val="24"/>
          <w:lang w:eastAsia="es-MX"/>
        </w:rPr>
        <w:t xml:space="preserve">ue el derecho de acceso a la información </w:t>
      </w:r>
      <w:r w:rsidR="00AB0AA0">
        <w:rPr>
          <w:rFonts w:ascii="Palatino Linotype" w:eastAsia="Times New Roman" w:hAnsi="Palatino Linotype" w:cs="Times New Roman"/>
          <w:sz w:val="24"/>
          <w:szCs w:val="24"/>
          <w:lang w:eastAsia="es-MX"/>
        </w:rPr>
        <w:t xml:space="preserve">tiene como </w:t>
      </w:r>
      <w:r w:rsidR="00D303EA">
        <w:rPr>
          <w:rFonts w:ascii="Palatino Linotype" w:eastAsia="Times New Roman" w:hAnsi="Palatino Linotype" w:cs="Times New Roman"/>
          <w:sz w:val="24"/>
          <w:szCs w:val="24"/>
          <w:lang w:eastAsia="es-MX"/>
        </w:rPr>
        <w:t>determinante</w:t>
      </w:r>
      <w:r w:rsidR="00AB0AA0">
        <w:rPr>
          <w:rFonts w:ascii="Palatino Linotype" w:eastAsia="Times New Roman" w:hAnsi="Palatino Linotype" w:cs="Times New Roman"/>
          <w:sz w:val="24"/>
          <w:szCs w:val="24"/>
          <w:lang w:eastAsia="es-MX"/>
        </w:rPr>
        <w:t xml:space="preserve"> el interés público</w:t>
      </w:r>
      <w:r w:rsidRPr="0083279F">
        <w:rPr>
          <w:rFonts w:ascii="Palatino Linotype" w:eastAsia="Times New Roman" w:hAnsi="Palatino Linotype" w:cs="Times New Roman"/>
          <w:sz w:val="24"/>
          <w:szCs w:val="24"/>
          <w:lang w:eastAsia="es-MX"/>
        </w:rPr>
        <w:t>, la información relativa a</w:t>
      </w:r>
      <w:r w:rsidR="00AB0AA0">
        <w:rPr>
          <w:rFonts w:ascii="Palatino Linotype" w:eastAsia="Times New Roman" w:hAnsi="Palatino Linotype" w:cs="Times New Roman"/>
          <w:sz w:val="24"/>
          <w:szCs w:val="24"/>
          <w:lang w:eastAsia="es-MX"/>
        </w:rPr>
        <w:t>l nombre de personas físicas contratadas con recursos públicos</w:t>
      </w:r>
      <w:r w:rsidRPr="0083279F">
        <w:rPr>
          <w:rFonts w:ascii="Palatino Linotype" w:eastAsia="Times New Roman" w:hAnsi="Palatino Linotype" w:cs="Times New Roman"/>
          <w:sz w:val="24"/>
          <w:szCs w:val="24"/>
          <w:lang w:eastAsia="es-MX"/>
        </w:rPr>
        <w:t>,</w:t>
      </w:r>
      <w:r w:rsidR="00AB0AA0">
        <w:rPr>
          <w:rFonts w:ascii="Palatino Linotype" w:eastAsia="Times New Roman" w:hAnsi="Palatino Linotype" w:cs="Times New Roman"/>
          <w:sz w:val="24"/>
          <w:szCs w:val="24"/>
          <w:lang w:eastAsia="es-MX"/>
        </w:rPr>
        <w:t xml:space="preserve"> además, </w:t>
      </w:r>
      <w:r w:rsidR="0058070B">
        <w:rPr>
          <w:rFonts w:ascii="Palatino Linotype" w:hAnsi="Palatino Linotype"/>
          <w:sz w:val="24"/>
          <w:szCs w:val="24"/>
          <w:lang w:eastAsia="es-MX"/>
        </w:rPr>
        <w:t>obedece</w:t>
      </w:r>
      <w:r w:rsidR="00AB0AA0">
        <w:rPr>
          <w:rFonts w:ascii="Palatino Linotype" w:hAnsi="Palatino Linotype"/>
          <w:sz w:val="24"/>
          <w:szCs w:val="24"/>
          <w:lang w:eastAsia="es-MX"/>
        </w:rPr>
        <w:t xml:space="preserve"> al</w:t>
      </w:r>
      <w:r w:rsidRPr="0083279F">
        <w:rPr>
          <w:rFonts w:ascii="Palatino Linotype" w:hAnsi="Palatino Linotype"/>
          <w:sz w:val="24"/>
          <w:szCs w:val="24"/>
          <w:lang w:eastAsia="es-MX"/>
        </w:rPr>
        <w:t xml:space="preserve"> principio de máxima publicidad al tratarse de una obra pública</w:t>
      </w:r>
      <w:r w:rsidR="009E7614">
        <w:rPr>
          <w:rFonts w:ascii="Palatino Linotype" w:hAnsi="Palatino Linotype"/>
          <w:sz w:val="24"/>
          <w:szCs w:val="24"/>
          <w:lang w:eastAsia="es-MX"/>
        </w:rPr>
        <w:t>.</w:t>
      </w:r>
    </w:p>
    <w:p w:rsidR="00EC68E3" w:rsidRPr="005C70E8" w:rsidRDefault="00EC68E3" w:rsidP="00BF7E94">
      <w:pPr>
        <w:spacing w:line="360" w:lineRule="auto"/>
        <w:contextualSpacing/>
        <w:rPr>
          <w:rFonts w:ascii="Palatino Linotype" w:hAnsi="Palatino Linotype" w:cs="Arial"/>
          <w:color w:val="000000" w:themeColor="text1"/>
          <w:sz w:val="24"/>
          <w:szCs w:val="24"/>
        </w:rPr>
      </w:pPr>
    </w:p>
    <w:p w:rsidR="001A103E" w:rsidRDefault="00EC68E3" w:rsidP="00284C42">
      <w:pPr>
        <w:numPr>
          <w:ilvl w:val="0"/>
          <w:numId w:val="1"/>
        </w:numPr>
        <w:spacing w:after="0" w:line="360" w:lineRule="auto"/>
        <w:contextualSpacing/>
        <w:jc w:val="both"/>
        <w:rPr>
          <w:rFonts w:ascii="Palatino Linotype" w:hAnsi="Palatino Linotype" w:cs="Arial"/>
          <w:color w:val="000000" w:themeColor="text1"/>
          <w:sz w:val="24"/>
          <w:szCs w:val="24"/>
        </w:rPr>
      </w:pPr>
      <w:r w:rsidRPr="00BF7E94">
        <w:rPr>
          <w:rFonts w:ascii="Palatino Linotype" w:hAnsi="Palatino Linotype" w:cs="Arial"/>
          <w:color w:val="000000" w:themeColor="text1"/>
          <w:sz w:val="24"/>
          <w:szCs w:val="24"/>
        </w:rPr>
        <w:t xml:space="preserve">En el caso que se resuelve debo destacar que la </w:t>
      </w:r>
      <w:r w:rsidR="009E7614">
        <w:rPr>
          <w:rFonts w:ascii="Palatino Linotype" w:hAnsi="Palatino Linotype" w:cs="Arial"/>
          <w:color w:val="000000" w:themeColor="text1"/>
          <w:sz w:val="24"/>
          <w:szCs w:val="24"/>
        </w:rPr>
        <w:t xml:space="preserve">ley de trasparencia estatal </w:t>
      </w:r>
      <w:r w:rsidRPr="00BF7E94">
        <w:rPr>
          <w:rFonts w:ascii="Palatino Linotype" w:hAnsi="Palatino Linotype" w:cs="Arial"/>
          <w:color w:val="000000" w:themeColor="text1"/>
          <w:sz w:val="24"/>
          <w:szCs w:val="24"/>
        </w:rPr>
        <w:t>precisa en su artí</w:t>
      </w:r>
      <w:r w:rsidR="00BF7E94" w:rsidRPr="00BF7E94">
        <w:rPr>
          <w:rFonts w:ascii="Palatino Linotype" w:hAnsi="Palatino Linotype" w:cs="Arial"/>
          <w:color w:val="000000" w:themeColor="text1"/>
          <w:sz w:val="24"/>
          <w:szCs w:val="24"/>
        </w:rPr>
        <w:t>culo 3 fracción XXII</w:t>
      </w:r>
      <w:r w:rsidR="005C70E8" w:rsidRPr="00BF7E94">
        <w:rPr>
          <w:rFonts w:ascii="Palatino Linotype" w:hAnsi="Palatino Linotype" w:cs="Arial"/>
          <w:color w:val="000000" w:themeColor="text1"/>
          <w:sz w:val="24"/>
          <w:szCs w:val="24"/>
        </w:rPr>
        <w:t>,</w:t>
      </w:r>
      <w:r w:rsidR="00BF7E94" w:rsidRPr="00BF7E94">
        <w:rPr>
          <w:rFonts w:ascii="Palatino Linotype" w:hAnsi="Palatino Linotype" w:cs="Arial"/>
          <w:color w:val="000000" w:themeColor="text1"/>
          <w:sz w:val="24"/>
          <w:szCs w:val="24"/>
        </w:rPr>
        <w:t xml:space="preserve"> </w:t>
      </w:r>
      <w:r w:rsidRPr="00BF7E94">
        <w:rPr>
          <w:rFonts w:ascii="Palatino Linotype" w:hAnsi="Palatino Linotype" w:cs="Arial"/>
          <w:color w:val="000000" w:themeColor="text1"/>
          <w:sz w:val="24"/>
          <w:szCs w:val="24"/>
        </w:rPr>
        <w:t xml:space="preserve">que </w:t>
      </w:r>
      <w:r w:rsidR="00BF7E94" w:rsidRPr="00BF7E94">
        <w:rPr>
          <w:rFonts w:ascii="Palatino Linotype" w:hAnsi="Palatino Linotype" w:cs="Arial"/>
          <w:i/>
          <w:color w:val="000000" w:themeColor="text1"/>
          <w:sz w:val="24"/>
          <w:szCs w:val="24"/>
        </w:rPr>
        <w:t xml:space="preserve"> la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r w:rsidRPr="00BF7E94">
        <w:rPr>
          <w:rFonts w:ascii="Palatino Linotype" w:hAnsi="Palatino Linotype" w:cs="Arial"/>
          <w:i/>
          <w:color w:val="000000" w:themeColor="text1"/>
          <w:sz w:val="24"/>
          <w:szCs w:val="24"/>
        </w:rPr>
        <w:t xml:space="preserve">. </w:t>
      </w:r>
      <w:r w:rsidR="00BF7E94" w:rsidRPr="00BF7E94">
        <w:rPr>
          <w:rFonts w:ascii="Palatino Linotype" w:hAnsi="Palatino Linotype" w:cs="Arial"/>
          <w:b/>
          <w:color w:val="000000" w:themeColor="text1"/>
          <w:sz w:val="24"/>
          <w:szCs w:val="24"/>
        </w:rPr>
        <w:t>Por lo que</w:t>
      </w:r>
      <w:r w:rsidR="00BF7E94">
        <w:rPr>
          <w:rFonts w:ascii="Palatino Linotype" w:hAnsi="Palatino Linotype" w:cs="Arial"/>
          <w:b/>
          <w:color w:val="000000" w:themeColor="text1"/>
          <w:sz w:val="24"/>
          <w:szCs w:val="24"/>
        </w:rPr>
        <w:t xml:space="preserve"> en</w:t>
      </w:r>
      <w:r w:rsidR="00BF7E94" w:rsidRPr="00BF7E94">
        <w:rPr>
          <w:rFonts w:ascii="Palatino Linotype" w:hAnsi="Palatino Linotype" w:cs="Arial"/>
          <w:b/>
          <w:color w:val="000000" w:themeColor="text1"/>
          <w:sz w:val="24"/>
          <w:szCs w:val="24"/>
        </w:rPr>
        <w:t xml:space="preserve"> el caso que nos ocupa conocer el nombre del arquitecto encargado de la obra, permite a la sociedad en general comprender y entender la actividad que se está llevando a cabo por el </w:t>
      </w:r>
      <w:r w:rsidR="0058070B" w:rsidRPr="00BF7E94">
        <w:rPr>
          <w:rFonts w:ascii="Palatino Linotype" w:hAnsi="Palatino Linotype" w:cs="Arial"/>
          <w:b/>
          <w:color w:val="000000" w:themeColor="text1"/>
          <w:sz w:val="24"/>
          <w:szCs w:val="24"/>
        </w:rPr>
        <w:t>SUJETO OBLIGADO</w:t>
      </w:r>
      <w:r w:rsidR="00BF7E94" w:rsidRPr="00BF7E94">
        <w:rPr>
          <w:rFonts w:ascii="Palatino Linotype" w:hAnsi="Palatino Linotype" w:cs="Arial"/>
          <w:b/>
          <w:color w:val="000000" w:themeColor="text1"/>
          <w:sz w:val="24"/>
          <w:szCs w:val="24"/>
        </w:rPr>
        <w:t>,</w:t>
      </w:r>
      <w:r w:rsidR="009E7614">
        <w:rPr>
          <w:rFonts w:ascii="Palatino Linotype" w:hAnsi="Palatino Linotype" w:cs="Arial"/>
          <w:b/>
          <w:color w:val="000000" w:themeColor="text1"/>
          <w:sz w:val="24"/>
          <w:szCs w:val="24"/>
        </w:rPr>
        <w:t xml:space="preserve"> </w:t>
      </w:r>
      <w:r w:rsidR="009E7614">
        <w:rPr>
          <w:rFonts w:ascii="Palatino Linotype" w:hAnsi="Palatino Linotype" w:cs="Arial"/>
          <w:color w:val="000000" w:themeColor="text1"/>
          <w:sz w:val="24"/>
          <w:szCs w:val="24"/>
        </w:rPr>
        <w:t xml:space="preserve">que para el caso concreto es una obra de </w:t>
      </w:r>
      <w:r w:rsidR="0058070B">
        <w:rPr>
          <w:rFonts w:ascii="Palatino Linotype" w:hAnsi="Palatino Linotype" w:cs="Arial"/>
          <w:color w:val="000000" w:themeColor="text1"/>
          <w:sz w:val="24"/>
          <w:szCs w:val="24"/>
        </w:rPr>
        <w:t>construcción</w:t>
      </w:r>
      <w:r w:rsidR="009E7614">
        <w:rPr>
          <w:rFonts w:ascii="Palatino Linotype" w:hAnsi="Palatino Linotype" w:cs="Arial"/>
          <w:b/>
          <w:color w:val="000000" w:themeColor="text1"/>
          <w:sz w:val="24"/>
          <w:szCs w:val="24"/>
        </w:rPr>
        <w:t xml:space="preserve">, </w:t>
      </w:r>
      <w:r w:rsidR="00BF7E94" w:rsidRPr="00BF7E94">
        <w:rPr>
          <w:rFonts w:ascii="Palatino Linotype" w:hAnsi="Palatino Linotype" w:cs="Arial"/>
          <w:color w:val="000000" w:themeColor="text1"/>
          <w:sz w:val="24"/>
          <w:szCs w:val="24"/>
        </w:rPr>
        <w:t>situación que este Pl</w:t>
      </w:r>
      <w:r w:rsidR="0058070B">
        <w:rPr>
          <w:rFonts w:ascii="Palatino Linotype" w:hAnsi="Palatino Linotype" w:cs="Arial"/>
          <w:color w:val="000000" w:themeColor="text1"/>
          <w:sz w:val="24"/>
          <w:szCs w:val="24"/>
        </w:rPr>
        <w:t>eno pretende dejar de observar.</w:t>
      </w:r>
    </w:p>
    <w:p w:rsidR="00284C42" w:rsidRPr="00284C42" w:rsidRDefault="00284C42" w:rsidP="00284C42">
      <w:pPr>
        <w:spacing w:after="0" w:line="360" w:lineRule="auto"/>
        <w:contextualSpacing/>
        <w:jc w:val="both"/>
        <w:rPr>
          <w:rFonts w:ascii="Palatino Linotype" w:hAnsi="Palatino Linotype" w:cs="Arial"/>
          <w:color w:val="000000" w:themeColor="text1"/>
          <w:sz w:val="24"/>
          <w:szCs w:val="24"/>
        </w:rPr>
      </w:pPr>
    </w:p>
    <w:p w:rsidR="001A103E" w:rsidRDefault="0058070B" w:rsidP="00AC096A">
      <w:pPr>
        <w:numPr>
          <w:ilvl w:val="0"/>
          <w:numId w:val="1"/>
        </w:numPr>
        <w:spacing w:after="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Así, </w:t>
      </w:r>
      <w:r w:rsidR="009A3020">
        <w:rPr>
          <w:rFonts w:ascii="Palatino Linotype" w:hAnsi="Palatino Linotype" w:cs="Arial"/>
          <w:color w:val="000000" w:themeColor="text1"/>
          <w:sz w:val="24"/>
          <w:szCs w:val="24"/>
        </w:rPr>
        <w:t>e</w:t>
      </w:r>
      <w:r w:rsidR="00EC68E3" w:rsidRPr="009A3020">
        <w:rPr>
          <w:rFonts w:ascii="Palatino Linotype" w:hAnsi="Palatino Linotype" w:cs="Arial"/>
          <w:color w:val="000000" w:themeColor="text1"/>
          <w:sz w:val="24"/>
          <w:szCs w:val="24"/>
        </w:rPr>
        <w:t xml:space="preserve">l tercer párrafo del artículo primero de nuestra la Constitución Política de los Estados Unidos Mexicanos establece la obligación del Estado Mexicano de </w:t>
      </w:r>
      <w:r w:rsidR="00EC68E3" w:rsidRPr="009A3020">
        <w:rPr>
          <w:rFonts w:ascii="Palatino Linotype" w:hAnsi="Palatino Linotype" w:cs="Arial"/>
          <w:i/>
          <w:color w:val="000000" w:themeColor="text1"/>
          <w:sz w:val="24"/>
          <w:szCs w:val="24"/>
        </w:rPr>
        <w:t xml:space="preserve">investigar, sancionar y reparar las violaciones a los derechos humanos, en los términos que establezca la ley. </w:t>
      </w:r>
      <w:r w:rsidR="00EC68E3" w:rsidRPr="009A3020">
        <w:rPr>
          <w:rFonts w:ascii="Palatino Linotype" w:hAnsi="Palatino Linotype" w:cs="Arial"/>
          <w:color w:val="000000" w:themeColor="text1"/>
          <w:sz w:val="24"/>
          <w:szCs w:val="24"/>
        </w:rPr>
        <w:t xml:space="preserve">En este caso es plenamente evidente que </w:t>
      </w:r>
      <w:r w:rsidR="00EC68E3" w:rsidRPr="009A3020">
        <w:rPr>
          <w:rFonts w:ascii="Palatino Linotype" w:hAnsi="Palatino Linotype" w:cs="Arial"/>
          <w:b/>
          <w:color w:val="000000" w:themeColor="text1"/>
          <w:sz w:val="24"/>
          <w:szCs w:val="24"/>
        </w:rPr>
        <w:t xml:space="preserve">el particular </w:t>
      </w:r>
      <w:r w:rsidR="00EC68E3" w:rsidRPr="009A3020">
        <w:rPr>
          <w:rFonts w:ascii="Palatino Linotype" w:hAnsi="Palatino Linotype" w:cs="Arial"/>
          <w:color w:val="000000" w:themeColor="text1"/>
          <w:sz w:val="24"/>
          <w:szCs w:val="24"/>
        </w:rPr>
        <w:t>pretendió a acceder a cierta información</w:t>
      </w:r>
      <w:r w:rsidR="009A3020" w:rsidRPr="009A3020">
        <w:rPr>
          <w:rFonts w:ascii="Palatino Linotype" w:hAnsi="Palatino Linotype" w:cs="Arial"/>
          <w:color w:val="000000" w:themeColor="text1"/>
          <w:sz w:val="24"/>
          <w:szCs w:val="24"/>
        </w:rPr>
        <w:t>, y el no ponerla a disposición del mismo</w:t>
      </w:r>
      <w:r w:rsidR="00EC68E3" w:rsidRPr="009A3020">
        <w:rPr>
          <w:rFonts w:ascii="Palatino Linotype" w:hAnsi="Palatino Linotype" w:cs="Arial"/>
          <w:color w:val="000000" w:themeColor="text1"/>
          <w:sz w:val="24"/>
          <w:szCs w:val="24"/>
        </w:rPr>
        <w:t xml:space="preserve">, </w:t>
      </w:r>
      <w:r w:rsidR="0010620B" w:rsidRPr="009A3020">
        <w:rPr>
          <w:rFonts w:ascii="Palatino Linotype" w:hAnsi="Palatino Linotype" w:cs="Arial"/>
          <w:color w:val="000000" w:themeColor="text1"/>
          <w:sz w:val="24"/>
          <w:szCs w:val="24"/>
        </w:rPr>
        <w:t>gener</w:t>
      </w:r>
      <w:r w:rsidR="006E62FE" w:rsidRPr="009A3020">
        <w:rPr>
          <w:rFonts w:ascii="Palatino Linotype" w:hAnsi="Palatino Linotype" w:cs="Arial"/>
          <w:color w:val="000000" w:themeColor="text1"/>
          <w:sz w:val="24"/>
          <w:szCs w:val="24"/>
        </w:rPr>
        <w:t xml:space="preserve">a </w:t>
      </w:r>
      <w:r w:rsidR="00EC68E3" w:rsidRPr="009A3020">
        <w:rPr>
          <w:rFonts w:ascii="Palatino Linotype" w:hAnsi="Palatino Linotype" w:cs="Arial"/>
          <w:color w:val="000000" w:themeColor="text1"/>
          <w:sz w:val="24"/>
          <w:szCs w:val="24"/>
        </w:rPr>
        <w:t>un agrav</w:t>
      </w:r>
      <w:r>
        <w:rPr>
          <w:rFonts w:ascii="Palatino Linotype" w:hAnsi="Palatino Linotype" w:cs="Arial"/>
          <w:color w:val="000000" w:themeColor="text1"/>
          <w:sz w:val="24"/>
          <w:szCs w:val="24"/>
        </w:rPr>
        <w:t>io</w:t>
      </w:r>
      <w:r w:rsidR="00EC68E3" w:rsidRPr="009A3020">
        <w:rPr>
          <w:rFonts w:ascii="Palatino Linotype" w:hAnsi="Palatino Linotype" w:cs="Arial"/>
          <w:color w:val="000000" w:themeColor="text1"/>
          <w:sz w:val="24"/>
          <w:szCs w:val="24"/>
        </w:rPr>
        <w:t xml:space="preserve"> en la persona que acudió a la garantía secundaria para la </w:t>
      </w:r>
      <w:proofErr w:type="spellStart"/>
      <w:r w:rsidR="00EC68E3" w:rsidRPr="009A3020">
        <w:rPr>
          <w:rFonts w:ascii="Palatino Linotype" w:hAnsi="Palatino Linotype" w:cs="Arial"/>
          <w:i/>
          <w:color w:val="000000" w:themeColor="text1"/>
          <w:sz w:val="24"/>
          <w:szCs w:val="24"/>
        </w:rPr>
        <w:t>restitutio</w:t>
      </w:r>
      <w:proofErr w:type="spellEnd"/>
      <w:r w:rsidR="00EC68E3" w:rsidRPr="009A3020">
        <w:rPr>
          <w:rFonts w:ascii="Palatino Linotype" w:hAnsi="Palatino Linotype" w:cs="Arial"/>
          <w:i/>
          <w:color w:val="000000" w:themeColor="text1"/>
          <w:sz w:val="24"/>
          <w:szCs w:val="24"/>
        </w:rPr>
        <w:t xml:space="preserve"> in </w:t>
      </w:r>
      <w:proofErr w:type="spellStart"/>
      <w:r w:rsidR="00EC68E3" w:rsidRPr="009A3020">
        <w:rPr>
          <w:rFonts w:ascii="Palatino Linotype" w:hAnsi="Palatino Linotype" w:cs="Arial"/>
          <w:i/>
          <w:color w:val="000000" w:themeColor="text1"/>
          <w:sz w:val="24"/>
          <w:szCs w:val="24"/>
        </w:rPr>
        <w:t>integrum</w:t>
      </w:r>
      <w:proofErr w:type="spellEnd"/>
      <w:r w:rsidR="00EC68E3" w:rsidRPr="009A3020">
        <w:rPr>
          <w:rFonts w:ascii="Palatino Linotype" w:hAnsi="Palatino Linotype" w:cs="Arial"/>
          <w:color w:val="000000" w:themeColor="text1"/>
          <w:sz w:val="24"/>
          <w:szCs w:val="24"/>
        </w:rPr>
        <w:t xml:space="preserve"> del derecho en cuestión. </w:t>
      </w:r>
    </w:p>
    <w:p w:rsidR="006E62FE" w:rsidRPr="006E62FE" w:rsidRDefault="006E62FE" w:rsidP="009A3020">
      <w:pPr>
        <w:spacing w:after="0" w:line="360" w:lineRule="auto"/>
        <w:contextualSpacing/>
        <w:jc w:val="both"/>
        <w:rPr>
          <w:rFonts w:ascii="Palatino Linotype" w:hAnsi="Palatino Linotype" w:cs="Arial"/>
          <w:color w:val="000000" w:themeColor="text1"/>
          <w:sz w:val="24"/>
          <w:szCs w:val="24"/>
        </w:rPr>
      </w:pPr>
    </w:p>
    <w:p w:rsidR="00EC68E3" w:rsidRDefault="00EC68E3" w:rsidP="006E62FE">
      <w:pPr>
        <w:keepNext/>
        <w:keepLines/>
        <w:numPr>
          <w:ilvl w:val="0"/>
          <w:numId w:val="12"/>
        </w:numPr>
        <w:spacing w:before="40" w:after="0"/>
        <w:ind w:left="567" w:hanging="567"/>
        <w:outlineLvl w:val="1"/>
        <w:rPr>
          <w:rFonts w:ascii="Palatino Linotype" w:eastAsiaTheme="majorEastAsia" w:hAnsi="Palatino Linotype" w:cs="Arial"/>
          <w:b/>
          <w:iCs/>
          <w:color w:val="000000" w:themeColor="text1"/>
          <w:sz w:val="24"/>
          <w:szCs w:val="24"/>
        </w:rPr>
      </w:pPr>
      <w:bookmarkStart w:id="9" w:name="_Toc522533874"/>
      <w:bookmarkStart w:id="10" w:name="_Toc522548935"/>
      <w:r w:rsidRPr="005C70E8">
        <w:rPr>
          <w:rFonts w:ascii="Palatino Linotype" w:eastAsiaTheme="majorEastAsia" w:hAnsi="Palatino Linotype" w:cs="Arial"/>
          <w:b/>
          <w:iCs/>
          <w:color w:val="000000" w:themeColor="text1"/>
          <w:sz w:val="24"/>
          <w:szCs w:val="24"/>
        </w:rPr>
        <w:t>Conclusiones.</w:t>
      </w:r>
      <w:bookmarkEnd w:id="9"/>
      <w:bookmarkEnd w:id="10"/>
      <w:r w:rsidRPr="005C70E8">
        <w:rPr>
          <w:rFonts w:ascii="Palatino Linotype" w:eastAsiaTheme="majorEastAsia" w:hAnsi="Palatino Linotype" w:cs="Arial"/>
          <w:b/>
          <w:iCs/>
          <w:color w:val="000000" w:themeColor="text1"/>
          <w:sz w:val="24"/>
          <w:szCs w:val="24"/>
        </w:rPr>
        <w:t xml:space="preserve"> </w:t>
      </w:r>
    </w:p>
    <w:p w:rsidR="001A103E" w:rsidRPr="005C70E8" w:rsidRDefault="001A103E" w:rsidP="009A3020">
      <w:pPr>
        <w:keepNext/>
        <w:keepLines/>
        <w:spacing w:before="40" w:after="0"/>
        <w:outlineLvl w:val="1"/>
        <w:rPr>
          <w:rFonts w:ascii="Palatino Linotype" w:eastAsiaTheme="majorEastAsia" w:hAnsi="Palatino Linotype" w:cs="Arial"/>
          <w:b/>
          <w:iCs/>
          <w:color w:val="000000" w:themeColor="text1"/>
          <w:sz w:val="24"/>
          <w:szCs w:val="24"/>
        </w:rPr>
      </w:pPr>
    </w:p>
    <w:p w:rsidR="001A103E" w:rsidRPr="006435F6" w:rsidRDefault="006435F6" w:rsidP="006435F6">
      <w:pPr>
        <w:numPr>
          <w:ilvl w:val="0"/>
          <w:numId w:val="1"/>
        </w:numPr>
        <w:spacing w:after="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El no observar el grado de interés que puede causar cierta información para </w:t>
      </w:r>
      <w:r w:rsidR="0058070B">
        <w:rPr>
          <w:rFonts w:ascii="Palatino Linotype" w:hAnsi="Palatino Linotype" w:cs="Arial"/>
          <w:color w:val="000000" w:themeColor="text1"/>
          <w:sz w:val="24"/>
          <w:szCs w:val="24"/>
        </w:rPr>
        <w:t xml:space="preserve">la </w:t>
      </w:r>
      <w:r>
        <w:rPr>
          <w:rFonts w:ascii="Palatino Linotype" w:hAnsi="Palatino Linotype" w:cs="Arial"/>
          <w:color w:val="000000" w:themeColor="text1"/>
          <w:sz w:val="24"/>
          <w:szCs w:val="24"/>
        </w:rPr>
        <w:t xml:space="preserve">sociedad, provoca </w:t>
      </w:r>
      <w:r w:rsidR="00EC68E3" w:rsidRPr="005C70E8">
        <w:rPr>
          <w:rFonts w:ascii="Palatino Linotype" w:hAnsi="Palatino Linotype" w:cs="Arial"/>
          <w:color w:val="000000" w:themeColor="text1"/>
          <w:sz w:val="24"/>
          <w:szCs w:val="24"/>
        </w:rPr>
        <w:t>una afectación a</w:t>
      </w:r>
      <w:r w:rsidR="00171997" w:rsidRPr="005C70E8">
        <w:rPr>
          <w:rFonts w:ascii="Palatino Linotype" w:hAnsi="Palatino Linotype" w:cs="Arial"/>
          <w:color w:val="000000" w:themeColor="text1"/>
          <w:sz w:val="24"/>
          <w:szCs w:val="24"/>
        </w:rPr>
        <w:t>l</w:t>
      </w:r>
      <w:r w:rsidR="00131770" w:rsidRPr="005C70E8">
        <w:rPr>
          <w:rFonts w:ascii="Palatino Linotype" w:hAnsi="Palatino Linotype" w:cs="Arial"/>
          <w:color w:val="000000" w:themeColor="text1"/>
          <w:sz w:val="24"/>
          <w:szCs w:val="24"/>
        </w:rPr>
        <w:t xml:space="preserve"> </w:t>
      </w:r>
      <w:r w:rsidR="00EC68E3" w:rsidRPr="005C70E8">
        <w:rPr>
          <w:rFonts w:ascii="Palatino Linotype" w:hAnsi="Palatino Linotype" w:cs="Arial"/>
          <w:color w:val="000000" w:themeColor="text1"/>
          <w:sz w:val="24"/>
          <w:szCs w:val="24"/>
        </w:rPr>
        <w:t>derecho</w:t>
      </w:r>
      <w:r w:rsidR="00171997" w:rsidRPr="005C70E8">
        <w:rPr>
          <w:rFonts w:ascii="Palatino Linotype" w:hAnsi="Palatino Linotype" w:cs="Arial"/>
          <w:color w:val="000000" w:themeColor="text1"/>
          <w:sz w:val="24"/>
          <w:szCs w:val="24"/>
        </w:rPr>
        <w:t xml:space="preserve"> de los particulares</w:t>
      </w:r>
      <w:r w:rsidR="00EC68E3" w:rsidRPr="005C70E8">
        <w:rPr>
          <w:rFonts w:ascii="Palatino Linotype" w:hAnsi="Palatino Linotype" w:cs="Arial"/>
          <w:color w:val="000000" w:themeColor="text1"/>
          <w:sz w:val="24"/>
          <w:szCs w:val="24"/>
        </w:rPr>
        <w:t xml:space="preserve">, </w:t>
      </w:r>
      <w:r w:rsidR="00171997" w:rsidRPr="005C70E8">
        <w:rPr>
          <w:rFonts w:ascii="Palatino Linotype" w:hAnsi="Palatino Linotype" w:cs="Arial"/>
          <w:color w:val="000000" w:themeColor="text1"/>
          <w:sz w:val="24"/>
          <w:szCs w:val="24"/>
        </w:rPr>
        <w:t>y más aún, cuando se encuentran elementos de convicción que ayudan a determinar que la información</w:t>
      </w:r>
      <w:r w:rsidR="000F41EA" w:rsidRPr="005C70E8">
        <w:rPr>
          <w:rFonts w:ascii="Palatino Linotype" w:hAnsi="Palatino Linotype" w:cs="Arial"/>
          <w:color w:val="000000" w:themeColor="text1"/>
          <w:sz w:val="24"/>
          <w:szCs w:val="24"/>
        </w:rPr>
        <w:t xml:space="preserve"> puede existir.</w:t>
      </w:r>
      <w:r w:rsidR="00171997" w:rsidRPr="005C70E8">
        <w:rPr>
          <w:rFonts w:ascii="Palatino Linotype" w:hAnsi="Palatino Linotype" w:cs="Arial"/>
          <w:color w:val="000000" w:themeColor="text1"/>
          <w:sz w:val="24"/>
          <w:szCs w:val="24"/>
        </w:rPr>
        <w:t xml:space="preserve"> </w:t>
      </w:r>
      <w:r w:rsidR="00171997" w:rsidRPr="006435F6">
        <w:rPr>
          <w:rFonts w:ascii="Palatino Linotype" w:hAnsi="Palatino Linotype" w:cs="Arial"/>
          <w:color w:val="000000" w:themeColor="text1"/>
          <w:sz w:val="24"/>
          <w:szCs w:val="24"/>
        </w:rPr>
        <w:t>E</w:t>
      </w:r>
      <w:r w:rsidR="00EC68E3" w:rsidRPr="006435F6">
        <w:rPr>
          <w:rFonts w:ascii="Palatino Linotype" w:hAnsi="Palatino Linotype" w:cs="Arial"/>
          <w:color w:val="000000" w:themeColor="text1"/>
          <w:sz w:val="24"/>
          <w:szCs w:val="24"/>
        </w:rPr>
        <w:t>n ese sentido, el deber de reparación de los Sujetos Obligados</w:t>
      </w:r>
      <w:r>
        <w:rPr>
          <w:rFonts w:ascii="Palatino Linotype" w:hAnsi="Palatino Linotype" w:cs="Arial"/>
          <w:color w:val="000000" w:themeColor="text1"/>
          <w:sz w:val="24"/>
          <w:szCs w:val="24"/>
        </w:rPr>
        <w:t xml:space="preserve"> </w:t>
      </w:r>
      <w:r w:rsidR="0058070B">
        <w:rPr>
          <w:rFonts w:ascii="Palatino Linotype" w:hAnsi="Palatino Linotype" w:cs="Arial"/>
          <w:color w:val="000000" w:themeColor="text1"/>
          <w:sz w:val="24"/>
          <w:szCs w:val="24"/>
        </w:rPr>
        <w:t>así como de este Órgano Garante</w:t>
      </w:r>
      <w:r w:rsidR="00EC68E3" w:rsidRPr="006435F6">
        <w:rPr>
          <w:rFonts w:ascii="Palatino Linotype" w:hAnsi="Palatino Linotype" w:cs="Arial"/>
          <w:color w:val="000000" w:themeColor="text1"/>
          <w:sz w:val="24"/>
          <w:szCs w:val="24"/>
        </w:rPr>
        <w:t xml:space="preserve"> no solo debe versar en la entrega de la información completa, sino tambi</w:t>
      </w:r>
      <w:r>
        <w:rPr>
          <w:rFonts w:ascii="Palatino Linotype" w:hAnsi="Palatino Linotype" w:cs="Arial"/>
          <w:color w:val="000000" w:themeColor="text1"/>
          <w:sz w:val="24"/>
          <w:szCs w:val="24"/>
        </w:rPr>
        <w:t>én, en que es de interés social conocer todos los actos de gobierno, pues eso permite la rendición de cuentas y la pa</w:t>
      </w:r>
      <w:r w:rsidR="0058070B">
        <w:rPr>
          <w:rFonts w:ascii="Palatino Linotype" w:hAnsi="Palatino Linotype" w:cs="Arial"/>
          <w:color w:val="000000" w:themeColor="text1"/>
          <w:sz w:val="24"/>
          <w:szCs w:val="24"/>
        </w:rPr>
        <w:t>rticipación en la vida pública.</w:t>
      </w:r>
    </w:p>
    <w:p w:rsidR="008A308E" w:rsidRDefault="008A308E" w:rsidP="006E62FE">
      <w:pPr>
        <w:spacing w:after="0" w:line="360" w:lineRule="auto"/>
        <w:contextualSpacing/>
        <w:jc w:val="both"/>
        <w:rPr>
          <w:rFonts w:ascii="Palatino Linotype" w:hAnsi="Palatino Linotype" w:cs="Arial"/>
          <w:color w:val="000000" w:themeColor="text1"/>
          <w:sz w:val="24"/>
          <w:szCs w:val="24"/>
        </w:rPr>
      </w:pPr>
    </w:p>
    <w:p w:rsidR="002D4959" w:rsidRDefault="002D4959" w:rsidP="006E62FE">
      <w:pPr>
        <w:spacing w:after="0" w:line="360" w:lineRule="auto"/>
        <w:contextualSpacing/>
        <w:jc w:val="both"/>
        <w:rPr>
          <w:rFonts w:ascii="Palatino Linotype" w:hAnsi="Palatino Linotype" w:cs="Arial"/>
          <w:color w:val="000000" w:themeColor="text1"/>
          <w:sz w:val="24"/>
          <w:szCs w:val="24"/>
        </w:rPr>
      </w:pPr>
    </w:p>
    <w:p w:rsidR="002D4959" w:rsidRDefault="002D4959" w:rsidP="006E62FE">
      <w:pPr>
        <w:spacing w:after="0" w:line="360" w:lineRule="auto"/>
        <w:contextualSpacing/>
        <w:jc w:val="both"/>
        <w:rPr>
          <w:rFonts w:ascii="Palatino Linotype" w:hAnsi="Palatino Linotype" w:cs="Arial"/>
          <w:color w:val="000000" w:themeColor="text1"/>
          <w:sz w:val="24"/>
          <w:szCs w:val="24"/>
        </w:rPr>
      </w:pPr>
    </w:p>
    <w:p w:rsidR="002D4959" w:rsidRPr="008A308E" w:rsidRDefault="002D4959" w:rsidP="006E62FE">
      <w:pPr>
        <w:spacing w:after="0" w:line="360" w:lineRule="auto"/>
        <w:contextualSpacing/>
        <w:jc w:val="both"/>
        <w:rPr>
          <w:rFonts w:ascii="Palatino Linotype" w:hAnsi="Palatino Linotype" w:cs="Arial"/>
          <w:color w:val="000000" w:themeColor="text1"/>
          <w:sz w:val="24"/>
          <w:szCs w:val="24"/>
        </w:rPr>
      </w:pPr>
    </w:p>
    <w:p w:rsidR="00712B28" w:rsidRPr="005C70E8" w:rsidRDefault="00712B28" w:rsidP="00712B28">
      <w:pPr>
        <w:spacing w:line="360" w:lineRule="auto"/>
        <w:jc w:val="center"/>
        <w:rPr>
          <w:rFonts w:ascii="Palatino Linotype" w:eastAsia="Calibri" w:hAnsi="Palatino Linotype" w:cs="Arial"/>
          <w:b/>
          <w:color w:val="000000" w:themeColor="text1"/>
          <w:sz w:val="24"/>
          <w:szCs w:val="24"/>
        </w:rPr>
      </w:pPr>
      <w:r w:rsidRPr="005C70E8">
        <w:rPr>
          <w:rFonts w:ascii="Palatino Linotype" w:eastAsia="Calibri" w:hAnsi="Palatino Linotype" w:cs="Arial"/>
          <w:b/>
          <w:color w:val="000000" w:themeColor="text1"/>
          <w:sz w:val="24"/>
          <w:szCs w:val="24"/>
        </w:rPr>
        <w:t>JOSÉ GUADALUPE LUNA HERNÁNDEZ</w:t>
      </w:r>
    </w:p>
    <w:p w:rsidR="00712B28" w:rsidRPr="005C70E8" w:rsidRDefault="00712B28" w:rsidP="00712B28">
      <w:pPr>
        <w:spacing w:line="360" w:lineRule="auto"/>
        <w:jc w:val="center"/>
        <w:rPr>
          <w:rFonts w:ascii="Palatino Linotype" w:eastAsia="Calibri" w:hAnsi="Palatino Linotype" w:cs="Arial"/>
          <w:b/>
          <w:color w:val="000000" w:themeColor="text1"/>
          <w:sz w:val="24"/>
          <w:szCs w:val="24"/>
        </w:rPr>
      </w:pPr>
      <w:r w:rsidRPr="005C70E8">
        <w:rPr>
          <w:rFonts w:ascii="Palatino Linotype" w:eastAsia="Calibri" w:hAnsi="Palatino Linotype" w:cs="Arial"/>
          <w:b/>
          <w:color w:val="000000" w:themeColor="text1"/>
          <w:sz w:val="24"/>
          <w:szCs w:val="24"/>
        </w:rPr>
        <w:t>COMISIONADO</w:t>
      </w:r>
    </w:p>
    <w:p w:rsidR="008A308E" w:rsidRPr="005C70E8" w:rsidRDefault="00CE4239" w:rsidP="008A308E">
      <w:pPr>
        <w:spacing w:line="360" w:lineRule="auto"/>
        <w:jc w:val="center"/>
        <w:rPr>
          <w:rFonts w:ascii="Palatino Linotype" w:eastAsia="Calibri" w:hAnsi="Palatino Linotype" w:cs="Arial"/>
          <w:b/>
          <w:color w:val="000000" w:themeColor="text1"/>
          <w:sz w:val="24"/>
          <w:szCs w:val="24"/>
        </w:rPr>
      </w:pPr>
      <w:r w:rsidRPr="005C70E8">
        <w:rPr>
          <w:rFonts w:ascii="Palatino Linotype" w:eastAsia="Calibri" w:hAnsi="Palatino Linotype" w:cs="Arial"/>
          <w:b/>
          <w:color w:val="000000" w:themeColor="text1"/>
          <w:sz w:val="24"/>
          <w:szCs w:val="24"/>
        </w:rPr>
        <w:t>(Rúbrica</w:t>
      </w:r>
      <w:r w:rsidR="008A308E">
        <w:rPr>
          <w:rFonts w:ascii="Palatino Linotype" w:eastAsia="Calibri" w:hAnsi="Palatino Linotype" w:cs="Arial"/>
          <w:b/>
          <w:color w:val="000000" w:themeColor="text1"/>
          <w:sz w:val="24"/>
          <w:szCs w:val="24"/>
        </w:rPr>
        <w:t>)</w:t>
      </w:r>
    </w:p>
    <w:p w:rsidR="00D33AF9" w:rsidRPr="006E62FE" w:rsidRDefault="00712B28" w:rsidP="001A103E">
      <w:pPr>
        <w:spacing w:line="360" w:lineRule="auto"/>
        <w:rPr>
          <w:rFonts w:ascii="Palatino Linotype" w:hAnsi="Palatino Linotype"/>
          <w:b/>
          <w:sz w:val="24"/>
          <w:szCs w:val="24"/>
        </w:rPr>
      </w:pPr>
      <w:r w:rsidRPr="006E62FE">
        <w:rPr>
          <w:rFonts w:ascii="Palatino Linotype" w:eastAsia="Calibri" w:hAnsi="Palatino Linotype" w:cs="Arial"/>
          <w:b/>
          <w:color w:val="000000" w:themeColor="text1"/>
          <w:sz w:val="24"/>
          <w:szCs w:val="24"/>
        </w:rPr>
        <w:t>JGLH/</w:t>
      </w:r>
      <w:r w:rsidR="008A308E" w:rsidRPr="006E62FE">
        <w:rPr>
          <w:rFonts w:ascii="Palatino Linotype" w:eastAsia="Calibri" w:hAnsi="Palatino Linotype" w:cs="Arial"/>
          <w:b/>
          <w:color w:val="000000" w:themeColor="text1"/>
          <w:sz w:val="24"/>
          <w:szCs w:val="24"/>
        </w:rPr>
        <w:t>MPBR</w:t>
      </w:r>
      <w:r w:rsidRPr="006E62FE">
        <w:rPr>
          <w:rFonts w:ascii="Palatino Linotype" w:eastAsia="Calibri" w:hAnsi="Palatino Linotype" w:cs="Arial"/>
          <w:b/>
          <w:color w:val="000000" w:themeColor="text1"/>
          <w:sz w:val="24"/>
          <w:szCs w:val="24"/>
        </w:rPr>
        <w:t>.</w:t>
      </w:r>
    </w:p>
    <w:sectPr w:rsidR="00D33AF9" w:rsidRPr="006E62FE" w:rsidSect="00DA55B8">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29A" w:rsidRDefault="009B529A" w:rsidP="00E706DA">
      <w:pPr>
        <w:spacing w:after="0" w:line="240" w:lineRule="auto"/>
      </w:pPr>
      <w:r>
        <w:separator/>
      </w:r>
    </w:p>
  </w:endnote>
  <w:endnote w:type="continuationSeparator" w:id="0">
    <w:p w:rsidR="009B529A" w:rsidRDefault="009B529A"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9B52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B6294F">
              <w:rPr>
                <w:rFonts w:ascii="Palatino Linotype" w:hAnsi="Palatino Linotype"/>
                <w:b/>
                <w:bCs/>
                <w:noProof/>
                <w:sz w:val="20"/>
                <w:szCs w:val="20"/>
              </w:rPr>
              <w:t>11</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B6294F">
              <w:rPr>
                <w:rFonts w:ascii="Palatino Linotype" w:hAnsi="Palatino Linotype"/>
                <w:b/>
                <w:bCs/>
                <w:noProof/>
                <w:sz w:val="20"/>
                <w:szCs w:val="20"/>
              </w:rPr>
              <w:t>11</w:t>
            </w:r>
            <w:r w:rsidRPr="0052203D">
              <w:rPr>
                <w:rFonts w:ascii="Palatino Linotype" w:hAnsi="Palatino Linotype"/>
                <w:b/>
                <w:bCs/>
                <w:sz w:val="20"/>
                <w:szCs w:val="20"/>
              </w:rPr>
              <w:fldChar w:fldCharType="end"/>
            </w:r>
          </w:p>
        </w:sdtContent>
      </w:sdt>
    </w:sdtContent>
  </w:sdt>
  <w:p w:rsidR="00951E8B" w:rsidRDefault="009B52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9B52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29A" w:rsidRDefault="009B529A" w:rsidP="00E706DA">
      <w:pPr>
        <w:spacing w:after="0" w:line="240" w:lineRule="auto"/>
      </w:pPr>
      <w:r>
        <w:separator/>
      </w:r>
    </w:p>
  </w:footnote>
  <w:footnote w:type="continuationSeparator" w:id="0">
    <w:p w:rsidR="009B529A" w:rsidRDefault="009B529A" w:rsidP="00E706DA">
      <w:pPr>
        <w:spacing w:after="0" w:line="240" w:lineRule="auto"/>
      </w:pPr>
      <w:r>
        <w:continuationSeparator/>
      </w:r>
    </w:p>
  </w:footnote>
  <w:footnote w:id="1">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“Los derechos fundamentales, precisamente porque están igual garantizados para todos los sustraídos a la disponibilidad de del mercado y de la política, forman la esfera de lo indecidible que y de lo indecidible que no; y actúan como factores no solo de legitimación sino también y, sobre todo, como factores de deslegitimación de las decisiones y de las no-decisiones.” FERRAJOLI, Luigi, </w:t>
      </w:r>
      <w:r w:rsidRPr="00FA14E5">
        <w:rPr>
          <w:rFonts w:ascii="Arial" w:hAnsi="Arial" w:cs="Arial"/>
          <w:i/>
        </w:rPr>
        <w:t>Derechos y Garantías. La ley del más débil.</w:t>
      </w:r>
      <w:r w:rsidRPr="00FA14E5">
        <w:rPr>
          <w:rFonts w:ascii="Arial" w:hAnsi="Arial" w:cs="Arial"/>
        </w:rPr>
        <w:t xml:space="preserve"> Séptima edición, Madrid. Editorial </w:t>
      </w:r>
      <w:proofErr w:type="spellStart"/>
      <w:r w:rsidRPr="00FA14E5">
        <w:rPr>
          <w:rFonts w:ascii="Arial" w:hAnsi="Arial" w:cs="Arial"/>
        </w:rPr>
        <w:t>Trotta</w:t>
      </w:r>
      <w:proofErr w:type="spellEnd"/>
      <w:r w:rsidRPr="00FA14E5">
        <w:rPr>
          <w:rFonts w:ascii="Arial" w:hAnsi="Arial" w:cs="Arial"/>
        </w:rPr>
        <w:t>, 2010. Pág. 24</w:t>
      </w:r>
    </w:p>
  </w:footnote>
  <w:footnote w:id="2">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“Por lo tanto, los principios son mandatos de optimización, que se caracterizan porque pueden cumplirse en diferente grado y que la medida debida de su cumplimiento no sólo depende de las posibilidades reales sino también de las jurídicas”. </w:t>
      </w:r>
      <w:proofErr w:type="spellStart"/>
      <w:r w:rsidRPr="00FA14E5">
        <w:rPr>
          <w:rFonts w:ascii="Arial" w:hAnsi="Arial" w:cs="Arial"/>
        </w:rPr>
        <w:t>Alexy</w:t>
      </w:r>
      <w:proofErr w:type="spellEnd"/>
      <w:r w:rsidRPr="00FA14E5">
        <w:rPr>
          <w:rFonts w:ascii="Arial" w:hAnsi="Arial" w:cs="Arial"/>
        </w:rPr>
        <w:t xml:space="preserve">, Robert. </w:t>
      </w:r>
      <w:r w:rsidRPr="000C14C0">
        <w:rPr>
          <w:rFonts w:ascii="Arial" w:hAnsi="Arial" w:cs="Arial"/>
          <w:i/>
        </w:rPr>
        <w:t>Teoría de los derechos fundamentales.</w:t>
      </w:r>
      <w:r w:rsidRPr="00FA14E5">
        <w:rPr>
          <w:rFonts w:ascii="Arial" w:hAnsi="Arial" w:cs="Arial"/>
        </w:rPr>
        <w:t xml:space="preserve"> Segunda edición, Madrid, Ed, Centro de Estudios Políticos y Constitucionales. 2014. Pág. 68.</w:t>
      </w:r>
    </w:p>
  </w:footnote>
  <w:footnote w:id="3">
    <w:p w:rsidR="00EC68E3" w:rsidRDefault="00EC68E3" w:rsidP="00EC68E3">
      <w:pPr>
        <w:pStyle w:val="Textonotapie"/>
      </w:pPr>
      <w:r>
        <w:rPr>
          <w:rStyle w:val="Refdenotaalpie"/>
        </w:rPr>
        <w:footnoteRef/>
      </w:r>
      <w:r>
        <w:t xml:space="preserve"> Convención Americana sobre Derechos Humanos. Artículo 13.</w:t>
      </w:r>
    </w:p>
  </w:footnote>
  <w:footnote w:id="4">
    <w:p w:rsidR="00EC68E3" w:rsidRDefault="00EC68E3" w:rsidP="00EC68E3">
      <w:pPr>
        <w:pStyle w:val="Textonotapie"/>
      </w:pPr>
      <w:r>
        <w:rPr>
          <w:rStyle w:val="Refdenotaalpie"/>
        </w:rPr>
        <w:footnoteRef/>
      </w:r>
      <w:r>
        <w:t xml:space="preserve"> Constitución Política de los Estados Unidos Mexicanos. Artículo sexto, sección A, Fracción I.</w:t>
      </w:r>
    </w:p>
  </w:footnote>
  <w:footnote w:id="5">
    <w:p w:rsidR="00EC68E3" w:rsidRDefault="00EC68E3" w:rsidP="00EC68E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rsidR="00EC68E3" w:rsidRDefault="00EC68E3" w:rsidP="00EC68E3">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La democracia a través de los derechos., El constitucionalismo garantista como modelo teórico y como proyecto político.</w:t>
      </w:r>
      <w:r w:rsidRPr="00FA14E5">
        <w:rPr>
          <w:rFonts w:ascii="Arial" w:hAnsi="Arial" w:cs="Arial"/>
        </w:rPr>
        <w:t xml:space="preserve"> Madrid. Ed. </w:t>
      </w:r>
      <w:proofErr w:type="spellStart"/>
      <w:r w:rsidRPr="00FA14E5">
        <w:rPr>
          <w:rFonts w:ascii="Arial" w:hAnsi="Arial" w:cs="Arial"/>
        </w:rPr>
        <w:t>Trotta</w:t>
      </w:r>
      <w:proofErr w:type="spellEnd"/>
      <w:r w:rsidRPr="00FA14E5">
        <w:rPr>
          <w:rFonts w:ascii="Arial" w:hAnsi="Arial" w:cs="Arial"/>
        </w:rPr>
        <w:t>, 2014.Pág. 62.</w:t>
      </w:r>
    </w:p>
  </w:footnote>
  <w:footnote w:id="8">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0C14C0">
        <w:rPr>
          <w:rFonts w:ascii="Arial" w:hAnsi="Arial" w:cs="Arial"/>
          <w:i/>
        </w:rPr>
        <w:t>Poderes salvajes. La crisis de la dem</w:t>
      </w:r>
      <w:bookmarkStart w:id="8" w:name="_GoBack"/>
      <w:bookmarkEnd w:id="8"/>
      <w:r w:rsidRPr="000C14C0">
        <w:rPr>
          <w:rFonts w:ascii="Arial" w:hAnsi="Arial" w:cs="Arial"/>
          <w:i/>
        </w:rPr>
        <w:t>ocracia constitucional.</w:t>
      </w:r>
      <w:r w:rsidRPr="00FA14E5">
        <w:rPr>
          <w:rFonts w:ascii="Arial" w:hAnsi="Arial" w:cs="Arial"/>
        </w:rPr>
        <w:t xml:space="preserve"> Segunda edición, Madrid. Ed. Mínima </w:t>
      </w:r>
      <w:proofErr w:type="spellStart"/>
      <w:r w:rsidRPr="00FA14E5">
        <w:rPr>
          <w:rFonts w:ascii="Arial" w:hAnsi="Arial" w:cs="Arial"/>
        </w:rPr>
        <w:t>Trotta</w:t>
      </w:r>
      <w:proofErr w:type="spellEnd"/>
      <w:r w:rsidRPr="00FA14E5">
        <w:rPr>
          <w:rFonts w:ascii="Arial" w:hAnsi="Arial" w:cs="Arial"/>
        </w:rPr>
        <w:t>. 2011. Pág. 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B529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B529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9B529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B529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14D69"/>
    <w:multiLevelType w:val="hybridMultilevel"/>
    <w:tmpl w:val="DCC04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3E5810"/>
    <w:multiLevelType w:val="hybridMultilevel"/>
    <w:tmpl w:val="A23C67D2"/>
    <w:lvl w:ilvl="0" w:tplc="CACA3A86">
      <w:start w:val="1"/>
      <w:numFmt w:val="upperRoman"/>
      <w:lvlText w:val="%1."/>
      <w:lvlJc w:val="left"/>
      <w:pPr>
        <w:ind w:left="1004"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7202FA"/>
    <w:multiLevelType w:val="hybridMultilevel"/>
    <w:tmpl w:val="6832B188"/>
    <w:lvl w:ilvl="0" w:tplc="39389BDC">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5"/>
  </w:num>
  <w:num w:numId="5">
    <w:abstractNumId w:val="6"/>
  </w:num>
  <w:num w:numId="6">
    <w:abstractNumId w:val="8"/>
  </w:num>
  <w:num w:numId="7">
    <w:abstractNumId w:val="11"/>
  </w:num>
  <w:num w:numId="8">
    <w:abstractNumId w:val="10"/>
  </w:num>
  <w:num w:numId="9">
    <w:abstractNumId w:val="13"/>
  </w:num>
  <w:num w:numId="10">
    <w:abstractNumId w:val="2"/>
  </w:num>
  <w:num w:numId="11">
    <w:abstractNumId w:val="12"/>
  </w:num>
  <w:num w:numId="12">
    <w:abstractNumId w:val="4"/>
  </w:num>
  <w:num w:numId="13">
    <w:abstractNumId w:val="14"/>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07C28"/>
    <w:rsid w:val="000527BE"/>
    <w:rsid w:val="00073F0D"/>
    <w:rsid w:val="0009096C"/>
    <w:rsid w:val="000951B4"/>
    <w:rsid w:val="000A77B5"/>
    <w:rsid w:val="000A7B66"/>
    <w:rsid w:val="000B3ED7"/>
    <w:rsid w:val="000B7751"/>
    <w:rsid w:val="000F41EA"/>
    <w:rsid w:val="000F606B"/>
    <w:rsid w:val="000F6CBB"/>
    <w:rsid w:val="00105464"/>
    <w:rsid w:val="0010620B"/>
    <w:rsid w:val="00122625"/>
    <w:rsid w:val="00131770"/>
    <w:rsid w:val="001401F8"/>
    <w:rsid w:val="00146879"/>
    <w:rsid w:val="0017113B"/>
    <w:rsid w:val="00171997"/>
    <w:rsid w:val="001807C8"/>
    <w:rsid w:val="00184DBC"/>
    <w:rsid w:val="00193BC3"/>
    <w:rsid w:val="00195192"/>
    <w:rsid w:val="001A103E"/>
    <w:rsid w:val="001D3F34"/>
    <w:rsid w:val="001E2148"/>
    <w:rsid w:val="002036ED"/>
    <w:rsid w:val="00225026"/>
    <w:rsid w:val="00227E7B"/>
    <w:rsid w:val="002342C7"/>
    <w:rsid w:val="002415AF"/>
    <w:rsid w:val="002620E9"/>
    <w:rsid w:val="00275F45"/>
    <w:rsid w:val="00281310"/>
    <w:rsid w:val="00284C42"/>
    <w:rsid w:val="0028712D"/>
    <w:rsid w:val="00293438"/>
    <w:rsid w:val="002A5C7F"/>
    <w:rsid w:val="002B6859"/>
    <w:rsid w:val="002C1F75"/>
    <w:rsid w:val="002D4959"/>
    <w:rsid w:val="002E3C54"/>
    <w:rsid w:val="00315113"/>
    <w:rsid w:val="003253A1"/>
    <w:rsid w:val="00342E34"/>
    <w:rsid w:val="00367E00"/>
    <w:rsid w:val="003705BB"/>
    <w:rsid w:val="003747A5"/>
    <w:rsid w:val="00386B95"/>
    <w:rsid w:val="0039641A"/>
    <w:rsid w:val="003A4245"/>
    <w:rsid w:val="003A700A"/>
    <w:rsid w:val="003D7B9E"/>
    <w:rsid w:val="004427C0"/>
    <w:rsid w:val="004450DE"/>
    <w:rsid w:val="004556E4"/>
    <w:rsid w:val="0046491C"/>
    <w:rsid w:val="00466AD0"/>
    <w:rsid w:val="004A7B65"/>
    <w:rsid w:val="004C5D96"/>
    <w:rsid w:val="004E38BF"/>
    <w:rsid w:val="005045C2"/>
    <w:rsid w:val="00557EA5"/>
    <w:rsid w:val="0058070B"/>
    <w:rsid w:val="005A3267"/>
    <w:rsid w:val="005C70E8"/>
    <w:rsid w:val="00607F50"/>
    <w:rsid w:val="006335A9"/>
    <w:rsid w:val="00634736"/>
    <w:rsid w:val="006435F6"/>
    <w:rsid w:val="00645178"/>
    <w:rsid w:val="00655CF9"/>
    <w:rsid w:val="006728FD"/>
    <w:rsid w:val="006E3748"/>
    <w:rsid w:val="006E62FE"/>
    <w:rsid w:val="006F7525"/>
    <w:rsid w:val="00704E16"/>
    <w:rsid w:val="00712B28"/>
    <w:rsid w:val="00717C0D"/>
    <w:rsid w:val="0072136B"/>
    <w:rsid w:val="0075371C"/>
    <w:rsid w:val="0076493C"/>
    <w:rsid w:val="00770016"/>
    <w:rsid w:val="007747F5"/>
    <w:rsid w:val="00790E37"/>
    <w:rsid w:val="007C0205"/>
    <w:rsid w:val="007E1398"/>
    <w:rsid w:val="007E1651"/>
    <w:rsid w:val="007E1FDC"/>
    <w:rsid w:val="007E3BEE"/>
    <w:rsid w:val="00814E97"/>
    <w:rsid w:val="0081513A"/>
    <w:rsid w:val="0082726C"/>
    <w:rsid w:val="0083133E"/>
    <w:rsid w:val="0083279F"/>
    <w:rsid w:val="008361CA"/>
    <w:rsid w:val="00850252"/>
    <w:rsid w:val="00856FA1"/>
    <w:rsid w:val="00876493"/>
    <w:rsid w:val="00880003"/>
    <w:rsid w:val="008822B3"/>
    <w:rsid w:val="00891FBE"/>
    <w:rsid w:val="008A308E"/>
    <w:rsid w:val="008B03B6"/>
    <w:rsid w:val="008B3AE9"/>
    <w:rsid w:val="008C4408"/>
    <w:rsid w:val="008F3E81"/>
    <w:rsid w:val="008F6583"/>
    <w:rsid w:val="00900E75"/>
    <w:rsid w:val="00902248"/>
    <w:rsid w:val="00904426"/>
    <w:rsid w:val="00937D7D"/>
    <w:rsid w:val="00975C25"/>
    <w:rsid w:val="009A3020"/>
    <w:rsid w:val="009A5A6A"/>
    <w:rsid w:val="009B529A"/>
    <w:rsid w:val="009C04C7"/>
    <w:rsid w:val="009E7614"/>
    <w:rsid w:val="00A63717"/>
    <w:rsid w:val="00A67ED6"/>
    <w:rsid w:val="00A9597F"/>
    <w:rsid w:val="00A9757A"/>
    <w:rsid w:val="00AA49F3"/>
    <w:rsid w:val="00AB023D"/>
    <w:rsid w:val="00AB0AA0"/>
    <w:rsid w:val="00AC0E06"/>
    <w:rsid w:val="00AC381E"/>
    <w:rsid w:val="00AD4A63"/>
    <w:rsid w:val="00B120CA"/>
    <w:rsid w:val="00B30ADC"/>
    <w:rsid w:val="00B45618"/>
    <w:rsid w:val="00B53C25"/>
    <w:rsid w:val="00B6294F"/>
    <w:rsid w:val="00B74478"/>
    <w:rsid w:val="00B84DE5"/>
    <w:rsid w:val="00BC7B0C"/>
    <w:rsid w:val="00BD299A"/>
    <w:rsid w:val="00BF7E94"/>
    <w:rsid w:val="00C46591"/>
    <w:rsid w:val="00C65A9A"/>
    <w:rsid w:val="00C66FAF"/>
    <w:rsid w:val="00CA5059"/>
    <w:rsid w:val="00CC2CF3"/>
    <w:rsid w:val="00CD08ED"/>
    <w:rsid w:val="00CE0823"/>
    <w:rsid w:val="00CE4239"/>
    <w:rsid w:val="00CF70BA"/>
    <w:rsid w:val="00D27EC4"/>
    <w:rsid w:val="00D303EA"/>
    <w:rsid w:val="00D33AF9"/>
    <w:rsid w:val="00D363F7"/>
    <w:rsid w:val="00D47AF9"/>
    <w:rsid w:val="00D72985"/>
    <w:rsid w:val="00D7508B"/>
    <w:rsid w:val="00D849AA"/>
    <w:rsid w:val="00DA1CC8"/>
    <w:rsid w:val="00DB084B"/>
    <w:rsid w:val="00DE7FC5"/>
    <w:rsid w:val="00DF6F7E"/>
    <w:rsid w:val="00DF7230"/>
    <w:rsid w:val="00E13FD8"/>
    <w:rsid w:val="00E23FDF"/>
    <w:rsid w:val="00E31C26"/>
    <w:rsid w:val="00E61AB8"/>
    <w:rsid w:val="00E706DA"/>
    <w:rsid w:val="00E83E93"/>
    <w:rsid w:val="00E94FBF"/>
    <w:rsid w:val="00EA3894"/>
    <w:rsid w:val="00EC68E3"/>
    <w:rsid w:val="00EF0C2D"/>
    <w:rsid w:val="00F42DAD"/>
    <w:rsid w:val="00F46E78"/>
    <w:rsid w:val="00F857BC"/>
    <w:rsid w:val="00F86858"/>
    <w:rsid w:val="00F92351"/>
    <w:rsid w:val="00FA523D"/>
    <w:rsid w:val="00FA6A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paragraph" w:styleId="TDC2">
    <w:name w:val="toc 2"/>
    <w:basedOn w:val="Normal"/>
    <w:next w:val="Normal"/>
    <w:autoRedefine/>
    <w:uiPriority w:val="39"/>
    <w:unhideWhenUsed/>
    <w:rsid w:val="00557EA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2712">
      <w:bodyDiv w:val="1"/>
      <w:marLeft w:val="0"/>
      <w:marRight w:val="0"/>
      <w:marTop w:val="0"/>
      <w:marBottom w:val="0"/>
      <w:divBdr>
        <w:top w:val="none" w:sz="0" w:space="0" w:color="auto"/>
        <w:left w:val="none" w:sz="0" w:space="0" w:color="auto"/>
        <w:bottom w:val="none" w:sz="0" w:space="0" w:color="auto"/>
        <w:right w:val="none" w:sz="0" w:space="0" w:color="auto"/>
      </w:divBdr>
    </w:div>
    <w:div w:id="923219809">
      <w:bodyDiv w:val="1"/>
      <w:marLeft w:val="0"/>
      <w:marRight w:val="0"/>
      <w:marTop w:val="0"/>
      <w:marBottom w:val="0"/>
      <w:divBdr>
        <w:top w:val="none" w:sz="0" w:space="0" w:color="auto"/>
        <w:left w:val="none" w:sz="0" w:space="0" w:color="auto"/>
        <w:bottom w:val="none" w:sz="0" w:space="0" w:color="auto"/>
        <w:right w:val="none" w:sz="0" w:space="0" w:color="auto"/>
      </w:divBdr>
    </w:div>
    <w:div w:id="1480415918">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551766776">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 w:id="2079355304">
      <w:bodyDiv w:val="1"/>
      <w:marLeft w:val="0"/>
      <w:marRight w:val="0"/>
      <w:marTop w:val="0"/>
      <w:marBottom w:val="0"/>
      <w:divBdr>
        <w:top w:val="none" w:sz="0" w:space="0" w:color="auto"/>
        <w:left w:val="none" w:sz="0" w:space="0" w:color="auto"/>
        <w:bottom w:val="none" w:sz="0" w:space="0" w:color="auto"/>
        <w:right w:val="none" w:sz="0" w:space="0" w:color="auto"/>
      </w:divBdr>
    </w:div>
    <w:div w:id="211578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2214</Words>
  <Characters>12179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2018-08-20T16:30:00Z</cp:lastPrinted>
  <dcterms:created xsi:type="dcterms:W3CDTF">2018-11-06T19:05:00Z</dcterms:created>
  <dcterms:modified xsi:type="dcterms:W3CDTF">2018-11-06T19:13:00Z</dcterms:modified>
</cp:coreProperties>
</file>